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231"/>
        <w:gridCol w:w="1404"/>
        <w:gridCol w:w="1111"/>
        <w:gridCol w:w="1215"/>
        <w:gridCol w:w="10287"/>
      </w:tblGrid>
      <w:tr w:rsidRPr="00810A2E" w:rsidR="000342F2" w:rsidTr="61B09BBB" w14:paraId="177E1EDB" w14:textId="77777777">
        <w:trPr>
          <w:cantSplit/>
        </w:trPr>
        <w:tc>
          <w:tcPr>
            <w:tcW w:w="847" w:type="pct"/>
            <w:gridSpan w:val="2"/>
            <w:shd w:val="clear" w:color="auto" w:fill="FFFFFF" w:themeFill="background1"/>
            <w:tcMar/>
          </w:tcPr>
          <w:p w:rsidRPr="00810A2E" w:rsidR="000342F2" w:rsidP="00437587" w:rsidRDefault="000342F2" w14:paraId="52CBB248" w14:textId="77777777">
            <w:pPr>
              <w:rPr>
                <w:rFonts w:cs="Arial"/>
                <w:b/>
                <w:szCs w:val="22"/>
              </w:rPr>
            </w:pPr>
          </w:p>
        </w:tc>
        <w:tc>
          <w:tcPr>
            <w:tcW w:w="4153" w:type="pct"/>
            <w:gridSpan w:val="3"/>
            <w:shd w:val="clear" w:color="auto" w:fill="FFFFFF" w:themeFill="background1"/>
            <w:tcMar/>
          </w:tcPr>
          <w:p w:rsidR="000342F2" w:rsidP="00224BF9" w:rsidRDefault="0099379D" w14:paraId="6B83515D" w14:textId="77777777">
            <w:pPr>
              <w:shd w:val="clear" w:color="auto" w:fill="FFFFFF"/>
              <w:spacing w:after="120"/>
              <w:rPr>
                <w:rFonts w:cs="Arial"/>
                <w:bCs/>
                <w:sz w:val="24"/>
                <w:szCs w:val="24"/>
                <w:lang w:val="en"/>
              </w:rPr>
            </w:pPr>
            <w:r w:rsidRPr="00AA6E9B">
              <w:rPr>
                <w:rFonts w:cs="Arial"/>
                <w:b/>
                <w:bCs/>
                <w:sz w:val="24"/>
                <w:szCs w:val="24"/>
                <w:lang w:val="en"/>
              </w:rPr>
              <w:t xml:space="preserve">Please read the </w:t>
            </w:r>
            <w:r w:rsidRPr="00AA6E9B" w:rsidR="00300024">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Pr="00810A2E" w:rsidR="00810A2E">
              <w:rPr>
                <w:rFonts w:cs="Arial"/>
                <w:bCs/>
                <w:sz w:val="24"/>
                <w:szCs w:val="24"/>
                <w:lang w:val="en"/>
              </w:rPr>
              <w:t xml:space="preserve">forms </w:t>
            </w:r>
            <w:r>
              <w:rPr>
                <w:rFonts w:cs="Arial"/>
                <w:bCs/>
                <w:sz w:val="24"/>
                <w:szCs w:val="24"/>
                <w:lang w:val="en"/>
              </w:rPr>
              <w:t xml:space="preserve">that are not filled in correctly. </w:t>
            </w:r>
          </w:p>
          <w:p w:rsidR="00E911D0" w:rsidP="00224BF9" w:rsidRDefault="00E911D0" w14:paraId="27D55B7E" w14:textId="77777777">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P="00224BF9" w:rsidRDefault="006116D3" w14:paraId="3F23AA3E" w14:textId="77777777">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P="00224BF9" w:rsidRDefault="00246154" w14:paraId="5646F293" w14:textId="2FC71A53">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rsidRPr="00246154" w:rsidR="00575316" w:rsidP="00575316" w:rsidRDefault="00575316" w14:paraId="7AD4DA60" w14:textId="77777777">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P="00224BF9" w:rsidRDefault="00246154" w14:paraId="52CA8112" w14:textId="10F1C42A">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Pr="00224BF9" w:rsidR="00224BF9">
              <w:rPr>
                <w:rFonts w:cs="Arial"/>
                <w:bCs/>
              </w:rPr>
              <w:t>existing practical resources or national initiatives, or examples of good practice</w:t>
            </w:r>
            <w:r w:rsidR="00224BF9">
              <w:rPr>
                <w:rFonts w:cs="Arial"/>
                <w:bCs/>
              </w:rPr>
              <w:t>.)</w:t>
            </w:r>
          </w:p>
          <w:p w:rsidR="008A35D9" w:rsidP="008A35D9" w:rsidRDefault="008A35D9" w14:paraId="156AE705" w14:textId="281C116F">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rsidRPr="008514EA" w:rsidR="00246154" w:rsidP="008F724D" w:rsidRDefault="00246154" w14:paraId="016EECC6" w14:textId="77777777">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w:history="1" r:id="rId8">
              <w:hyperlink w:history="1" r:id="rId9">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Pr="00810A2E" w:rsidR="000342F2" w:rsidTr="61B09BBB" w14:paraId="6134AA25" w14:textId="77777777">
        <w:trPr>
          <w:cantSplit/>
        </w:trPr>
        <w:tc>
          <w:tcPr>
            <w:tcW w:w="859" w:type="pct"/>
            <w:gridSpan w:val="2"/>
            <w:shd w:val="clear" w:color="auto" w:fill="FFFFFF" w:themeFill="background1"/>
            <w:tcMar/>
          </w:tcPr>
          <w:p w:rsidRPr="00810A2E" w:rsidR="000342F2" w:rsidP="00E96424" w:rsidRDefault="00D36D76" w14:paraId="5C727081" w14:textId="77777777">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hemeFill="background1"/>
            <w:tcMar/>
          </w:tcPr>
          <w:p w:rsidRPr="00810A2E" w:rsidR="000342F2" w:rsidP="00656C93" w:rsidRDefault="00DF4453" w14:paraId="2D52EC01" w14:textId="38A811E0">
            <w:pPr>
              <w:spacing w:before="240"/>
              <w:rPr>
                <w:rFonts w:cs="Arial"/>
                <w:szCs w:val="22"/>
              </w:rPr>
            </w:pPr>
            <w:r>
              <w:rPr>
                <w:rFonts w:cs="Arial"/>
                <w:szCs w:val="22"/>
              </w:rPr>
              <w:t>Royal Pharmaceutical Society</w:t>
            </w:r>
          </w:p>
        </w:tc>
      </w:tr>
      <w:tr w:rsidRPr="00810A2E" w:rsidR="00D36D76" w:rsidTr="61B09BBB" w14:paraId="0C7764B2" w14:textId="77777777">
        <w:trPr>
          <w:cantSplit/>
        </w:trPr>
        <w:tc>
          <w:tcPr>
            <w:tcW w:w="859" w:type="pct"/>
            <w:gridSpan w:val="2"/>
            <w:shd w:val="clear" w:color="auto" w:fill="FFFFFF" w:themeFill="background1"/>
            <w:tcMar/>
          </w:tcPr>
          <w:p w:rsidRPr="00D36D76" w:rsidR="00D36D76" w:rsidP="00D36D76" w:rsidRDefault="00D36D76" w14:paraId="3C7027BB" w14:textId="77777777">
            <w:pPr>
              <w:pStyle w:val="BodyText"/>
              <w:rPr>
                <w:rFonts w:cs="Arial"/>
                <w:szCs w:val="22"/>
              </w:rPr>
            </w:pPr>
            <w:r w:rsidRPr="00D36D76">
              <w:rPr>
                <w:rFonts w:cs="Arial"/>
                <w:szCs w:val="22"/>
              </w:rPr>
              <w:lastRenderedPageBreak/>
              <w:t>Disclosure</w:t>
            </w:r>
          </w:p>
          <w:p w:rsidR="00D36D76" w:rsidP="00D36D76" w:rsidRDefault="00D36D76" w14:paraId="35B1060E" w14:textId="77777777">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rsidRPr="00C979F9" w:rsidR="0054572C" w:rsidP="00D36D76" w:rsidRDefault="0054572C" w14:paraId="634207BF" w14:textId="77777777">
            <w:pPr>
              <w:pStyle w:val="BodyText"/>
              <w:rPr>
                <w:rFonts w:cs="Arial"/>
                <w:b w:val="0"/>
                <w:szCs w:val="22"/>
              </w:rPr>
            </w:pPr>
          </w:p>
        </w:tc>
        <w:tc>
          <w:tcPr>
            <w:tcW w:w="4141" w:type="pct"/>
            <w:gridSpan w:val="3"/>
            <w:shd w:val="clear" w:color="auto" w:fill="FFFFFF" w:themeFill="background1"/>
            <w:tcMar/>
          </w:tcPr>
          <w:p w:rsidRPr="00810A2E" w:rsidR="00D36D76" w:rsidP="00B83648" w:rsidRDefault="00D36D76" w14:paraId="77302138" w14:textId="22C29BAA">
            <w:pPr>
              <w:spacing w:before="240"/>
              <w:rPr>
                <w:rFonts w:cs="Arial"/>
                <w:b/>
                <w:szCs w:val="22"/>
                <w:highlight w:val="lightGray"/>
                <w:u w:val="single"/>
              </w:rPr>
            </w:pPr>
          </w:p>
        </w:tc>
      </w:tr>
      <w:tr w:rsidRPr="00810A2E" w:rsidR="000342F2" w:rsidTr="61B09BBB" w14:paraId="0739EBB3" w14:textId="77777777">
        <w:trPr>
          <w:cantSplit/>
        </w:trPr>
        <w:tc>
          <w:tcPr>
            <w:tcW w:w="859" w:type="pct"/>
            <w:gridSpan w:val="2"/>
            <w:tcBorders>
              <w:bottom w:val="single" w:color="auto" w:sz="6" w:space="0"/>
            </w:tcBorders>
            <w:shd w:val="clear" w:color="auto" w:fill="FFFFFF" w:themeFill="background1"/>
            <w:tcMar/>
          </w:tcPr>
          <w:p w:rsidRPr="00810A2E" w:rsidR="000342F2" w:rsidP="00246154" w:rsidRDefault="00D36D76" w14:paraId="5B5EC42C" w14:textId="77777777">
            <w:pPr>
              <w:pStyle w:val="BodyText"/>
              <w:rPr>
                <w:rFonts w:cs="Arial"/>
                <w:szCs w:val="22"/>
              </w:rPr>
            </w:pPr>
            <w:r w:rsidRPr="00D36D76">
              <w:rPr>
                <w:rFonts w:cs="Arial"/>
                <w:szCs w:val="22"/>
              </w:rPr>
              <w:t>Name of commentator person completing form:</w:t>
            </w:r>
          </w:p>
        </w:tc>
        <w:tc>
          <w:tcPr>
            <w:tcW w:w="4141" w:type="pct"/>
            <w:gridSpan w:val="3"/>
            <w:tcBorders>
              <w:bottom w:val="single" w:color="auto" w:sz="6" w:space="0"/>
            </w:tcBorders>
            <w:shd w:val="clear" w:color="auto" w:fill="FFFFFF" w:themeFill="background1"/>
            <w:tcMar/>
          </w:tcPr>
          <w:p w:rsidRPr="00810A2E" w:rsidR="00A201B2" w:rsidP="00B83648" w:rsidRDefault="00DF4453" w14:paraId="47E715BE" w14:textId="67430BD9">
            <w:pPr>
              <w:rPr>
                <w:rFonts w:cs="Arial"/>
                <w:szCs w:val="22"/>
              </w:rPr>
            </w:pPr>
            <w:r>
              <w:rPr>
                <w:rFonts w:cs="Arial"/>
                <w:szCs w:val="22"/>
              </w:rPr>
              <w:t>Heidi Wright</w:t>
            </w:r>
          </w:p>
        </w:tc>
      </w:tr>
      <w:tr w:rsidRPr="00810A2E" w:rsidR="004E513A" w:rsidTr="61B09BBB" w14:paraId="31C5C0EB" w14:textId="77777777">
        <w:trPr>
          <w:cantSplit/>
        </w:trPr>
        <w:tc>
          <w:tcPr>
            <w:tcW w:w="859" w:type="pct"/>
            <w:gridSpan w:val="2"/>
            <w:tcBorders>
              <w:bottom w:val="single" w:color="auto" w:sz="6" w:space="0"/>
            </w:tcBorders>
            <w:shd w:val="clear" w:color="auto" w:fill="FFFFFF" w:themeFill="background1"/>
            <w:tcMar/>
          </w:tcPr>
          <w:p w:rsidRPr="00D36D76" w:rsidR="004E513A" w:rsidP="00246154" w:rsidRDefault="004E513A" w14:paraId="5413E50D" w14:textId="77777777">
            <w:pPr>
              <w:pStyle w:val="BodyText"/>
              <w:rPr>
                <w:rFonts w:cs="Arial"/>
                <w:szCs w:val="22"/>
              </w:rPr>
            </w:pPr>
            <w:r>
              <w:rPr>
                <w:rFonts w:cs="Arial"/>
                <w:szCs w:val="22"/>
              </w:rPr>
              <w:t>Type</w:t>
            </w:r>
          </w:p>
        </w:tc>
        <w:tc>
          <w:tcPr>
            <w:tcW w:w="4141" w:type="pct"/>
            <w:gridSpan w:val="3"/>
            <w:tcBorders>
              <w:bottom w:val="single" w:color="auto" w:sz="6" w:space="0"/>
            </w:tcBorders>
            <w:shd w:val="clear" w:color="auto" w:fill="FFFFFF" w:themeFill="background1"/>
            <w:tcMar/>
          </w:tcPr>
          <w:p w:rsidR="00E911D0" w:rsidP="00DB6AB5" w:rsidRDefault="00B83648" w14:paraId="1A471850" w14:textId="77777777">
            <w:pPr>
              <w:rPr>
                <w:rFonts w:cs="Arial"/>
                <w:szCs w:val="22"/>
              </w:rPr>
            </w:pPr>
            <w:r>
              <w:rPr>
                <w:rFonts w:cs="Arial"/>
                <w:szCs w:val="22"/>
              </w:rPr>
              <w:t>[office use only]</w:t>
            </w:r>
          </w:p>
          <w:p w:rsidR="00E911D0" w:rsidP="00DB6AB5" w:rsidRDefault="00E911D0" w14:paraId="347C80D1" w14:textId="77777777">
            <w:pPr>
              <w:rPr>
                <w:rFonts w:cs="Arial"/>
                <w:szCs w:val="22"/>
              </w:rPr>
            </w:pPr>
          </w:p>
          <w:p w:rsidR="00E911D0" w:rsidP="00DB6AB5" w:rsidRDefault="00E911D0" w14:paraId="27669DE8" w14:textId="77777777">
            <w:pPr>
              <w:rPr>
                <w:rFonts w:cs="Arial"/>
                <w:szCs w:val="22"/>
              </w:rPr>
            </w:pPr>
          </w:p>
          <w:p w:rsidR="00E911D0" w:rsidP="00DB6AB5" w:rsidRDefault="00E911D0" w14:paraId="26C487CD" w14:textId="77777777">
            <w:pPr>
              <w:rPr>
                <w:rFonts w:cs="Arial"/>
                <w:szCs w:val="22"/>
              </w:rPr>
            </w:pPr>
          </w:p>
          <w:p w:rsidRPr="00810A2E" w:rsidR="00E911D0" w:rsidP="00DB6AB5" w:rsidRDefault="00E911D0" w14:paraId="5C9A97FE" w14:textId="77777777">
            <w:pPr>
              <w:rPr>
                <w:rFonts w:cs="Arial"/>
                <w:szCs w:val="22"/>
              </w:rPr>
            </w:pPr>
          </w:p>
        </w:tc>
      </w:tr>
      <w:tr w:rsidRPr="00810A2E" w:rsidR="007E0074" w:rsidTr="61B09BBB" w14:paraId="3C683DBD" w14:textId="77777777">
        <w:tc>
          <w:tcPr>
            <w:tcW w:w="397" w:type="pct"/>
            <w:tcBorders>
              <w:top w:val="single" w:color="auto" w:sz="6" w:space="0"/>
              <w:bottom w:val="single" w:color="auto" w:sz="6" w:space="0"/>
            </w:tcBorders>
            <w:shd w:val="clear" w:color="auto" w:fill="E6E6E6"/>
            <w:tcMar/>
          </w:tcPr>
          <w:p w:rsidRPr="00810A2E" w:rsidR="007E0074" w:rsidP="00DB6AB5" w:rsidRDefault="007E0074" w14:paraId="0A86C274" w14:textId="77777777">
            <w:pPr>
              <w:jc w:val="center"/>
              <w:rPr>
                <w:rFonts w:cs="Arial"/>
                <w:b/>
              </w:rPr>
            </w:pPr>
            <w:r>
              <w:rPr>
                <w:rFonts w:cs="Arial"/>
                <w:b/>
              </w:rPr>
              <w:t>Comment</w:t>
            </w:r>
            <w:r w:rsidRPr="00810A2E">
              <w:rPr>
                <w:rFonts w:cs="Arial"/>
                <w:b/>
              </w:rPr>
              <w:t xml:space="preserve"> number</w:t>
            </w:r>
          </w:p>
          <w:p w:rsidRPr="00810A2E" w:rsidR="007E0074" w:rsidP="00DB6AB5" w:rsidRDefault="007E0074" w14:paraId="6EDE8FC4" w14:textId="77777777">
            <w:pPr>
              <w:jc w:val="center"/>
              <w:rPr>
                <w:rFonts w:cs="Arial"/>
                <w:i/>
                <w:sz w:val="18"/>
                <w:szCs w:val="18"/>
              </w:rPr>
            </w:pPr>
          </w:p>
        </w:tc>
        <w:tc>
          <w:tcPr>
            <w:tcW w:w="462" w:type="pct"/>
            <w:tcBorders>
              <w:top w:val="single" w:color="auto" w:sz="6" w:space="0"/>
              <w:bottom w:val="single" w:color="auto" w:sz="6" w:space="0"/>
            </w:tcBorders>
            <w:shd w:val="clear" w:color="auto" w:fill="E6E6E6"/>
            <w:tcMar/>
          </w:tcPr>
          <w:p w:rsidRPr="006F679F" w:rsidR="007E0074" w:rsidP="00DB6AB5" w:rsidRDefault="007E0074" w14:paraId="6B3E31CF" w14:textId="77777777">
            <w:pPr>
              <w:jc w:val="center"/>
              <w:rPr>
                <w:rFonts w:cs="Arial"/>
                <w:szCs w:val="22"/>
              </w:rPr>
            </w:pPr>
            <w:r w:rsidRPr="006F679F">
              <w:rPr>
                <w:rFonts w:cs="Arial"/>
                <w:b/>
                <w:szCs w:val="22"/>
              </w:rPr>
              <w:t>Document</w:t>
            </w:r>
          </w:p>
          <w:p w:rsidRPr="006F679F" w:rsidR="007E0074" w:rsidP="00F90F1E" w:rsidRDefault="007061C2" w14:paraId="4C09C9B6" w14:textId="77777777">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color="auto" w:sz="6" w:space="0"/>
              <w:bottom w:val="single" w:color="auto" w:sz="6" w:space="0"/>
            </w:tcBorders>
            <w:shd w:val="clear" w:color="auto" w:fill="E6E6E6"/>
            <w:tcMar/>
          </w:tcPr>
          <w:p w:rsidRPr="007E0074" w:rsidR="007E0074" w:rsidP="000342F2" w:rsidRDefault="007E0074" w14:paraId="2E8C1A2B" w14:textId="77777777">
            <w:pPr>
              <w:pStyle w:val="BodyText"/>
              <w:jc w:val="center"/>
              <w:rPr>
                <w:rFonts w:cs="Arial"/>
              </w:rPr>
            </w:pPr>
            <w:r w:rsidRPr="007E0074">
              <w:rPr>
                <w:rFonts w:cs="Arial"/>
              </w:rPr>
              <w:t>Page number</w:t>
            </w:r>
          </w:p>
          <w:p w:rsidRPr="007E0074" w:rsidR="007E0074" w:rsidP="001C6FA8" w:rsidRDefault="00246154" w14:paraId="4FD4AF4C" w14:textId="77777777">
            <w:pPr>
              <w:jc w:val="center"/>
              <w:rPr>
                <w:rFonts w:cs="Arial"/>
              </w:rPr>
            </w:pPr>
            <w:proofErr w:type="gramStart"/>
            <w:r>
              <w:rPr>
                <w:rFonts w:cs="Arial"/>
                <w:sz w:val="16"/>
                <w:szCs w:val="16"/>
              </w:rPr>
              <w:t xml:space="preserve">Or </w:t>
            </w:r>
            <w:r w:rsidRPr="006F679F" w:rsidR="007E0074">
              <w:rPr>
                <w:rFonts w:cs="Arial"/>
                <w:sz w:val="16"/>
                <w:szCs w:val="16"/>
              </w:rPr>
              <w:t xml:space="preserve"> </w:t>
            </w:r>
            <w:r w:rsidRPr="006F679F" w:rsidR="007E0074">
              <w:rPr>
                <w:rFonts w:cs="Arial"/>
                <w:b/>
                <w:sz w:val="16"/>
                <w:szCs w:val="16"/>
                <w:u w:val="single"/>
              </w:rPr>
              <w:t>‘</w:t>
            </w:r>
            <w:proofErr w:type="gramEnd"/>
            <w:r w:rsidRPr="006F679F" w:rsidR="007E0074">
              <w:rPr>
                <w:rFonts w:cs="Arial"/>
                <w:b/>
                <w:sz w:val="16"/>
                <w:szCs w:val="16"/>
                <w:u w:val="single"/>
              </w:rPr>
              <w:t>general’</w:t>
            </w:r>
            <w:r w:rsidRPr="006F679F" w:rsidR="007E0074">
              <w:rPr>
                <w:rFonts w:cs="Arial"/>
                <w:sz w:val="16"/>
                <w:szCs w:val="16"/>
              </w:rPr>
              <w:t xml:space="preserve"> </w:t>
            </w:r>
            <w:r w:rsidR="00B81DC8">
              <w:rPr>
                <w:rFonts w:cs="Arial"/>
                <w:sz w:val="16"/>
                <w:szCs w:val="16"/>
              </w:rPr>
              <w:t xml:space="preserve">for </w:t>
            </w:r>
            <w:r w:rsidRPr="006F679F" w:rsidR="007E0074">
              <w:rPr>
                <w:rFonts w:cs="Arial"/>
                <w:sz w:val="16"/>
                <w:szCs w:val="16"/>
              </w:rPr>
              <w:t>comment</w:t>
            </w:r>
            <w:r w:rsidR="00B81DC8">
              <w:rPr>
                <w:rFonts w:cs="Arial"/>
                <w:sz w:val="16"/>
                <w:szCs w:val="16"/>
              </w:rPr>
              <w:t>s</w:t>
            </w:r>
            <w:r w:rsidRPr="006F679F" w:rsidR="007E0074">
              <w:rPr>
                <w:rFonts w:cs="Arial"/>
                <w:sz w:val="16"/>
                <w:szCs w:val="16"/>
              </w:rPr>
              <w:t xml:space="preserve"> </w:t>
            </w:r>
            <w:r w:rsidR="00B81DC8">
              <w:rPr>
                <w:rFonts w:cs="Arial"/>
                <w:sz w:val="16"/>
                <w:szCs w:val="16"/>
              </w:rPr>
              <w:t xml:space="preserve">on </w:t>
            </w:r>
            <w:r w:rsidRPr="006F679F" w:rsidR="007E0074">
              <w:rPr>
                <w:rFonts w:cs="Arial"/>
                <w:sz w:val="16"/>
                <w:szCs w:val="16"/>
              </w:rPr>
              <w:t>whole document</w:t>
            </w:r>
          </w:p>
        </w:tc>
        <w:tc>
          <w:tcPr>
            <w:tcW w:w="400" w:type="pct"/>
            <w:tcBorders>
              <w:top w:val="single" w:color="auto" w:sz="6" w:space="0"/>
              <w:bottom w:val="single" w:color="auto" w:sz="6" w:space="0"/>
            </w:tcBorders>
            <w:shd w:val="clear" w:color="auto" w:fill="E6E6E6"/>
            <w:tcMar/>
          </w:tcPr>
          <w:p w:rsidRPr="007E0074" w:rsidR="007E0074" w:rsidP="00AE45DA" w:rsidRDefault="007E0074" w14:paraId="2D55E1FC" w14:textId="77777777">
            <w:pPr>
              <w:pStyle w:val="BodyText"/>
              <w:jc w:val="center"/>
              <w:rPr>
                <w:rFonts w:cs="Arial"/>
              </w:rPr>
            </w:pPr>
            <w:r w:rsidRPr="007E0074">
              <w:rPr>
                <w:rFonts w:cs="Arial"/>
              </w:rPr>
              <w:t>Line number</w:t>
            </w:r>
          </w:p>
          <w:p w:rsidRPr="007E0074" w:rsidR="007E0074" w:rsidP="001C6FA8" w:rsidRDefault="00B81DC8" w14:paraId="52CB3F30" w14:textId="77777777">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color="auto" w:sz="6" w:space="0"/>
              <w:bottom w:val="single" w:color="auto" w:sz="6" w:space="0"/>
            </w:tcBorders>
            <w:shd w:val="clear" w:color="auto" w:fill="E6E6E6"/>
            <w:tcMar/>
          </w:tcPr>
          <w:p w:rsidRPr="007E0074" w:rsidR="007E0074" w:rsidP="00DB6AB5" w:rsidRDefault="007E0074" w14:paraId="5A43E895" w14:textId="77777777">
            <w:pPr>
              <w:pStyle w:val="Heading1"/>
              <w:jc w:val="center"/>
              <w:rPr>
                <w:rFonts w:cs="Arial"/>
                <w:sz w:val="32"/>
              </w:rPr>
            </w:pPr>
            <w:r w:rsidRPr="007E0074">
              <w:rPr>
                <w:rFonts w:cs="Arial"/>
                <w:sz w:val="32"/>
              </w:rPr>
              <w:t>Comments</w:t>
            </w:r>
          </w:p>
          <w:p w:rsidRPr="007E0074" w:rsidR="007E0074" w:rsidP="00DB6AB5" w:rsidRDefault="007E0074" w14:paraId="7A3E754A" w14:textId="77777777">
            <w:pPr>
              <w:rPr>
                <w:rFonts w:cs="Arial"/>
                <w:sz w:val="32"/>
              </w:rPr>
            </w:pPr>
          </w:p>
          <w:p w:rsidRPr="005F745A" w:rsidR="007E0074" w:rsidP="00DB6AB5" w:rsidRDefault="00344D98" w14:paraId="49269DEE" w14:textId="77777777">
            <w:pPr>
              <w:jc w:val="center"/>
              <w:rPr>
                <w:rFonts w:cs="Arial"/>
                <w:sz w:val="18"/>
                <w:szCs w:val="18"/>
              </w:rPr>
            </w:pPr>
            <w:r>
              <w:rPr>
                <w:rFonts w:cs="Arial"/>
                <w:sz w:val="18"/>
                <w:szCs w:val="18"/>
              </w:rPr>
              <w:t>I</w:t>
            </w:r>
            <w:r w:rsidRPr="005F745A" w:rsidR="007E0074">
              <w:rPr>
                <w:rFonts w:cs="Arial"/>
                <w:sz w:val="18"/>
                <w:szCs w:val="18"/>
              </w:rPr>
              <w:t>nsert each comment in a new row.</w:t>
            </w:r>
          </w:p>
          <w:p w:rsidRPr="005F745A" w:rsidR="007E0074" w:rsidP="00DB6AB5" w:rsidRDefault="00344D98" w14:paraId="69858BA6" w14:textId="77777777">
            <w:pPr>
              <w:ind w:left="360"/>
              <w:rPr>
                <w:rFonts w:cs="Arial"/>
                <w:sz w:val="18"/>
                <w:szCs w:val="18"/>
              </w:rPr>
            </w:pPr>
            <w:r>
              <w:rPr>
                <w:rFonts w:cs="Arial"/>
                <w:sz w:val="18"/>
                <w:szCs w:val="18"/>
              </w:rPr>
              <w:t>D</w:t>
            </w:r>
            <w:r w:rsidRPr="005F745A" w:rsidR="007E0074">
              <w:rPr>
                <w:rFonts w:cs="Arial"/>
                <w:sz w:val="18"/>
                <w:szCs w:val="18"/>
              </w:rPr>
              <w:t xml:space="preserve">o not paste other tables into this table, </w:t>
            </w:r>
            <w:r w:rsidR="00D8029C">
              <w:rPr>
                <w:rFonts w:cs="Arial"/>
                <w:sz w:val="18"/>
                <w:szCs w:val="18"/>
              </w:rPr>
              <w:t>because</w:t>
            </w:r>
            <w:r w:rsidRPr="005F745A" w:rsidR="00D8029C">
              <w:rPr>
                <w:rFonts w:cs="Arial"/>
                <w:sz w:val="18"/>
                <w:szCs w:val="18"/>
              </w:rPr>
              <w:t xml:space="preserve"> </w:t>
            </w:r>
            <w:r w:rsidRPr="005F745A" w:rsidR="007E0074">
              <w:rPr>
                <w:rFonts w:cs="Arial"/>
                <w:sz w:val="18"/>
                <w:szCs w:val="18"/>
              </w:rPr>
              <w:t>your comments could get lost – type directly into this table.</w:t>
            </w:r>
          </w:p>
          <w:p w:rsidRPr="007E0074" w:rsidR="007E0074" w:rsidP="00DB6AB5" w:rsidRDefault="007E0074" w14:paraId="434B577D" w14:textId="77777777">
            <w:pPr>
              <w:jc w:val="center"/>
              <w:rPr>
                <w:rFonts w:cs="Arial"/>
                <w:b/>
              </w:rPr>
            </w:pPr>
          </w:p>
        </w:tc>
      </w:tr>
      <w:tr w:rsidRPr="00810A2E" w:rsidR="007E0074" w:rsidTr="61B09BBB" w14:paraId="0E6D84CB" w14:textId="77777777">
        <w:tc>
          <w:tcPr>
            <w:tcW w:w="397" w:type="pct"/>
            <w:tcBorders>
              <w:top w:val="single" w:color="auto" w:sz="6" w:space="0"/>
            </w:tcBorders>
            <w:tcMar/>
          </w:tcPr>
          <w:p w:rsidRPr="00810A2E" w:rsidR="00670FDB" w:rsidP="00F90F1E" w:rsidRDefault="00670FDB" w14:paraId="560F73C1" w14:textId="7446A6EE">
            <w:pPr>
              <w:jc w:val="center"/>
              <w:rPr>
                <w:rFonts w:cs="Arial"/>
                <w:color w:val="FF0000"/>
                <w:sz w:val="20"/>
              </w:rPr>
            </w:pPr>
          </w:p>
        </w:tc>
        <w:tc>
          <w:tcPr>
            <w:tcW w:w="462" w:type="pct"/>
            <w:tcBorders>
              <w:top w:val="single" w:color="auto" w:sz="6" w:space="0"/>
            </w:tcBorders>
            <w:tcMar/>
          </w:tcPr>
          <w:p w:rsidRPr="00810A2E" w:rsidR="00C060A1" w:rsidP="00F90F1E" w:rsidRDefault="00C060A1" w14:paraId="79F462A1" w14:textId="2FC35954">
            <w:pPr>
              <w:jc w:val="center"/>
              <w:rPr>
                <w:rFonts w:cs="Arial"/>
                <w:color w:val="FF0000"/>
                <w:sz w:val="20"/>
              </w:rPr>
            </w:pPr>
          </w:p>
        </w:tc>
        <w:tc>
          <w:tcPr>
            <w:tcW w:w="366" w:type="pct"/>
            <w:tcBorders>
              <w:top w:val="single" w:color="auto" w:sz="6" w:space="0"/>
            </w:tcBorders>
            <w:tcMar/>
          </w:tcPr>
          <w:p w:rsidRPr="00810A2E" w:rsidR="00AC196D" w:rsidP="00CB1334" w:rsidRDefault="00AC196D" w14:paraId="188A0601" w14:textId="7FB0769D">
            <w:pPr>
              <w:jc w:val="center"/>
              <w:rPr>
                <w:rFonts w:cs="Arial"/>
                <w:color w:val="FF0000"/>
                <w:sz w:val="20"/>
              </w:rPr>
            </w:pPr>
          </w:p>
        </w:tc>
        <w:tc>
          <w:tcPr>
            <w:tcW w:w="400" w:type="pct"/>
            <w:tcBorders>
              <w:top w:val="single" w:color="auto" w:sz="6" w:space="0"/>
            </w:tcBorders>
            <w:tcMar/>
          </w:tcPr>
          <w:p w:rsidRPr="00810A2E" w:rsidR="00AC196D" w:rsidP="00CB1334" w:rsidRDefault="00AC196D" w14:paraId="55B19EC0" w14:textId="00A2C6C7">
            <w:pPr>
              <w:jc w:val="center"/>
              <w:rPr>
                <w:rFonts w:cs="Arial"/>
                <w:color w:val="FF0000"/>
                <w:sz w:val="20"/>
              </w:rPr>
            </w:pPr>
          </w:p>
        </w:tc>
        <w:tc>
          <w:tcPr>
            <w:tcW w:w="3376" w:type="pct"/>
            <w:tcBorders>
              <w:top w:val="single" w:color="auto" w:sz="6" w:space="0"/>
            </w:tcBorders>
            <w:tcMar/>
          </w:tcPr>
          <w:p w:rsidRPr="00810A2E" w:rsidR="006846E7" w:rsidP="00DB6AB5" w:rsidRDefault="006846E7" w14:paraId="41B3165B" w14:textId="122A6CF6">
            <w:pPr>
              <w:rPr>
                <w:rFonts w:cs="Arial"/>
                <w:color w:val="FF0000"/>
                <w:sz w:val="20"/>
              </w:rPr>
            </w:pPr>
          </w:p>
        </w:tc>
      </w:tr>
      <w:tr w:rsidRPr="00810A2E" w:rsidR="007E0074" w:rsidTr="61B09BBB" w14:paraId="2092DCF8" w14:textId="77777777">
        <w:tc>
          <w:tcPr>
            <w:tcW w:w="397" w:type="pct"/>
            <w:tcBorders>
              <w:top w:val="single" w:color="auto" w:sz="6" w:space="0"/>
              <w:bottom w:val="single" w:color="auto" w:sz="6" w:space="0"/>
            </w:tcBorders>
            <w:tcMar/>
          </w:tcPr>
          <w:p w:rsidRPr="00810A2E" w:rsidR="007E0074" w:rsidP="00DB6AB5" w:rsidRDefault="007E0074" w14:paraId="1A8C0A28" w14:textId="77777777">
            <w:pPr>
              <w:jc w:val="center"/>
              <w:rPr>
                <w:rFonts w:cs="Arial"/>
                <w:sz w:val="20"/>
              </w:rPr>
            </w:pPr>
            <w:r w:rsidRPr="00810A2E">
              <w:rPr>
                <w:rFonts w:cs="Arial"/>
                <w:sz w:val="20"/>
              </w:rPr>
              <w:t>1</w:t>
            </w:r>
          </w:p>
        </w:tc>
        <w:tc>
          <w:tcPr>
            <w:tcW w:w="462" w:type="pct"/>
            <w:tcBorders>
              <w:top w:val="single" w:color="auto" w:sz="6" w:space="0"/>
              <w:bottom w:val="single" w:color="auto" w:sz="6" w:space="0"/>
            </w:tcBorders>
            <w:tcMar/>
          </w:tcPr>
          <w:p w:rsidRPr="00810A2E" w:rsidR="007E0074" w:rsidP="00DB6AB5" w:rsidRDefault="00DF4453" w14:paraId="096E7308" w14:textId="134A8A9E">
            <w:pPr>
              <w:rPr>
                <w:rFonts w:cs="Arial"/>
                <w:sz w:val="20"/>
              </w:rPr>
            </w:pPr>
            <w:r>
              <w:rPr>
                <w:rFonts w:cs="Arial"/>
                <w:sz w:val="20"/>
              </w:rPr>
              <w:t>Guideline</w:t>
            </w:r>
          </w:p>
        </w:tc>
        <w:tc>
          <w:tcPr>
            <w:tcW w:w="366" w:type="pct"/>
            <w:tcBorders>
              <w:top w:val="single" w:color="auto" w:sz="6" w:space="0"/>
              <w:bottom w:val="single" w:color="auto" w:sz="6" w:space="0"/>
            </w:tcBorders>
            <w:tcMar/>
          </w:tcPr>
          <w:p w:rsidRPr="00810A2E" w:rsidR="007E0074" w:rsidP="00DB6AB5" w:rsidRDefault="00DF4453" w14:paraId="6D3FACDB" w14:textId="1AC25E2F">
            <w:pPr>
              <w:rPr>
                <w:rFonts w:cs="Arial"/>
                <w:sz w:val="20"/>
              </w:rPr>
            </w:pPr>
            <w:r>
              <w:rPr>
                <w:rFonts w:cs="Arial"/>
                <w:sz w:val="20"/>
              </w:rPr>
              <w:t>6</w:t>
            </w:r>
          </w:p>
        </w:tc>
        <w:tc>
          <w:tcPr>
            <w:tcW w:w="400" w:type="pct"/>
            <w:tcBorders>
              <w:top w:val="single" w:color="auto" w:sz="6" w:space="0"/>
              <w:bottom w:val="single" w:color="auto" w:sz="6" w:space="0"/>
            </w:tcBorders>
            <w:tcMar/>
          </w:tcPr>
          <w:p w:rsidRPr="00810A2E" w:rsidR="007E0074" w:rsidP="00DB6AB5" w:rsidRDefault="00DF4453" w14:paraId="3ED73B2E" w14:textId="2DA3E96C">
            <w:pPr>
              <w:rPr>
                <w:rFonts w:cs="Arial"/>
                <w:sz w:val="20"/>
              </w:rPr>
            </w:pPr>
            <w:r>
              <w:rPr>
                <w:rFonts w:cs="Arial"/>
                <w:sz w:val="20"/>
              </w:rPr>
              <w:t>3</w:t>
            </w:r>
          </w:p>
        </w:tc>
        <w:tc>
          <w:tcPr>
            <w:tcW w:w="3376" w:type="pct"/>
            <w:tcBorders>
              <w:top w:val="single" w:color="auto" w:sz="6" w:space="0"/>
              <w:bottom w:val="single" w:color="auto" w:sz="6" w:space="0"/>
            </w:tcBorders>
            <w:tcMar/>
          </w:tcPr>
          <w:p w:rsidR="007E0074" w:rsidP="00224BF9" w:rsidRDefault="00DF4453" w14:paraId="52F0E3C6" w14:textId="77777777">
            <w:pPr>
              <w:rPr>
                <w:rFonts w:cs="Arial"/>
                <w:sz w:val="20"/>
              </w:rPr>
            </w:pPr>
            <w:r w:rsidRPr="00DF4453">
              <w:rPr>
                <w:rFonts w:cs="Arial"/>
                <w:sz w:val="20"/>
              </w:rPr>
              <w:t xml:space="preserve">We are concerned this recommendation could lead to </w:t>
            </w:r>
            <w:r w:rsidRPr="00DF4453">
              <w:rPr>
                <w:rFonts w:cs="Arial"/>
                <w:sz w:val="20"/>
              </w:rPr>
              <w:t>patient</w:t>
            </w:r>
            <w:r>
              <w:rPr>
                <w:rFonts w:cs="Arial"/>
                <w:sz w:val="20"/>
              </w:rPr>
              <w:t>s’</w:t>
            </w:r>
            <w:r w:rsidRPr="00DF4453">
              <w:rPr>
                <w:rFonts w:cs="Arial"/>
                <w:sz w:val="20"/>
              </w:rPr>
              <w:t xml:space="preserve"> appropriate treatment being delayed unnecessarily due to hesitation on the part of the prescriber.</w:t>
            </w:r>
          </w:p>
          <w:p w:rsidRPr="00810A2E" w:rsidR="00DF4453" w:rsidP="00224BF9" w:rsidRDefault="00DF4453" w14:paraId="620623A8" w14:textId="6903D435">
            <w:pPr>
              <w:rPr>
                <w:rFonts w:cs="Arial"/>
                <w:sz w:val="20"/>
              </w:rPr>
            </w:pPr>
          </w:p>
        </w:tc>
      </w:tr>
      <w:tr w:rsidRPr="00810A2E" w:rsidR="00246154" w:rsidTr="61B09BBB" w14:paraId="73EB431F" w14:textId="77777777">
        <w:tc>
          <w:tcPr>
            <w:tcW w:w="397" w:type="pct"/>
            <w:tcBorders>
              <w:top w:val="single" w:color="auto" w:sz="6" w:space="0"/>
            </w:tcBorders>
            <w:tcMar/>
          </w:tcPr>
          <w:p w:rsidRPr="00810A2E" w:rsidR="00246154" w:rsidP="00DB6AB5" w:rsidRDefault="00246154" w14:paraId="3D33D004" w14:textId="77777777">
            <w:pPr>
              <w:jc w:val="center"/>
              <w:rPr>
                <w:rFonts w:cs="Arial"/>
                <w:sz w:val="20"/>
              </w:rPr>
            </w:pPr>
            <w:r w:rsidRPr="00810A2E">
              <w:rPr>
                <w:rFonts w:cs="Arial"/>
                <w:sz w:val="20"/>
              </w:rPr>
              <w:t>2</w:t>
            </w:r>
          </w:p>
        </w:tc>
        <w:tc>
          <w:tcPr>
            <w:tcW w:w="462" w:type="pct"/>
            <w:tcBorders>
              <w:top w:val="single" w:color="auto" w:sz="6" w:space="0"/>
            </w:tcBorders>
            <w:tcMar/>
          </w:tcPr>
          <w:p w:rsidRPr="00810A2E" w:rsidR="00246154" w:rsidP="00DB6AB5" w:rsidRDefault="0088605D" w14:paraId="07BFEC98" w14:textId="56FC2066">
            <w:pPr>
              <w:rPr>
                <w:rFonts w:cs="Arial"/>
                <w:sz w:val="20"/>
              </w:rPr>
            </w:pPr>
            <w:r>
              <w:rPr>
                <w:rFonts w:cs="Arial"/>
                <w:sz w:val="20"/>
              </w:rPr>
              <w:t>Guideline</w:t>
            </w:r>
          </w:p>
        </w:tc>
        <w:tc>
          <w:tcPr>
            <w:tcW w:w="366" w:type="pct"/>
            <w:tcBorders>
              <w:top w:val="single" w:color="auto" w:sz="6" w:space="0"/>
            </w:tcBorders>
            <w:tcMar/>
          </w:tcPr>
          <w:p w:rsidRPr="00810A2E" w:rsidR="00246154" w:rsidP="00CF302B" w:rsidRDefault="00DF4453" w14:paraId="68E42D1A" w14:textId="738E96FB">
            <w:pPr>
              <w:rPr>
                <w:rFonts w:cs="Arial"/>
                <w:sz w:val="20"/>
              </w:rPr>
            </w:pPr>
            <w:r>
              <w:rPr>
                <w:rFonts w:cs="Arial"/>
                <w:sz w:val="20"/>
              </w:rPr>
              <w:t>9</w:t>
            </w:r>
          </w:p>
        </w:tc>
        <w:tc>
          <w:tcPr>
            <w:tcW w:w="400" w:type="pct"/>
            <w:tcBorders>
              <w:top w:val="single" w:color="auto" w:sz="6" w:space="0"/>
            </w:tcBorders>
            <w:tcMar/>
          </w:tcPr>
          <w:p w:rsidRPr="00810A2E" w:rsidR="00246154" w:rsidP="00CF302B" w:rsidRDefault="00DF4453" w14:paraId="14A32CE5" w14:textId="31DBA08D">
            <w:pPr>
              <w:rPr>
                <w:rFonts w:cs="Arial"/>
                <w:sz w:val="20"/>
              </w:rPr>
            </w:pPr>
            <w:r>
              <w:rPr>
                <w:rFonts w:cs="Arial"/>
                <w:sz w:val="20"/>
              </w:rPr>
              <w:t>21 and 28</w:t>
            </w:r>
          </w:p>
        </w:tc>
        <w:tc>
          <w:tcPr>
            <w:tcW w:w="3376" w:type="pct"/>
            <w:tcBorders>
              <w:top w:val="single" w:color="auto" w:sz="6" w:space="0"/>
            </w:tcBorders>
            <w:tcMar/>
          </w:tcPr>
          <w:p w:rsidR="00246154" w:rsidP="00224BF9" w:rsidRDefault="00DF4453" w14:paraId="1C9E088B" w14:textId="77777777">
            <w:pPr>
              <w:rPr>
                <w:rFonts w:cs="Arial"/>
                <w:sz w:val="20"/>
              </w:rPr>
            </w:pPr>
            <w:r w:rsidRPr="00DF4453">
              <w:rPr>
                <w:rFonts w:cs="Arial"/>
                <w:sz w:val="20"/>
              </w:rPr>
              <w:t>In</w:t>
            </w:r>
            <w:r>
              <w:rPr>
                <w:rFonts w:cs="Arial"/>
                <w:sz w:val="20"/>
              </w:rPr>
              <w:t xml:space="preserve"> </w:t>
            </w:r>
            <w:r w:rsidRPr="00DF4453">
              <w:rPr>
                <w:rFonts w:cs="Arial"/>
                <w:sz w:val="20"/>
              </w:rPr>
              <w:t xml:space="preserve">these two recommendations it should be explicitly clear who </w:t>
            </w:r>
            <w:proofErr w:type="gramStart"/>
            <w:r w:rsidRPr="00DF4453">
              <w:rPr>
                <w:rFonts w:cs="Arial"/>
                <w:sz w:val="20"/>
              </w:rPr>
              <w:t>has to</w:t>
            </w:r>
            <w:proofErr w:type="gramEnd"/>
            <w:r w:rsidRPr="00DF4453">
              <w:rPr>
                <w:rFonts w:cs="Arial"/>
                <w:sz w:val="20"/>
              </w:rPr>
              <w:t xml:space="preserve"> create the management plan.  It suggests here that the HCP in secondary care will do it but if the management plan contains some of the information it suggests from line 20 onward on page 7 it may not be appropriate for that HCP to undertake this prior to the HCP in primary care reviewing particularly if they </w:t>
            </w:r>
            <w:proofErr w:type="gramStart"/>
            <w:r w:rsidRPr="00DF4453">
              <w:rPr>
                <w:rFonts w:cs="Arial"/>
                <w:sz w:val="20"/>
              </w:rPr>
              <w:t>have to</w:t>
            </w:r>
            <w:proofErr w:type="gramEnd"/>
            <w:r w:rsidRPr="00DF4453">
              <w:rPr>
                <w:rFonts w:cs="Arial"/>
                <w:sz w:val="20"/>
              </w:rPr>
              <w:t xml:space="preserve"> start the prescribing process.  This could lead to confusion and duplicated work.  This section needs to be reviewed and made</w:t>
            </w:r>
            <w:r>
              <w:rPr>
                <w:rFonts w:cs="Arial"/>
                <w:sz w:val="20"/>
              </w:rPr>
              <w:t xml:space="preserve"> </w:t>
            </w:r>
            <w:r w:rsidRPr="00DF4453">
              <w:rPr>
                <w:rFonts w:cs="Arial"/>
                <w:sz w:val="20"/>
              </w:rPr>
              <w:t>clearer.</w:t>
            </w:r>
          </w:p>
          <w:p w:rsidRPr="00810A2E" w:rsidR="00DF4453" w:rsidP="00224BF9" w:rsidRDefault="00DF4453" w14:paraId="52FDF6A0" w14:textId="7E5EF9B1">
            <w:pPr>
              <w:rPr>
                <w:rFonts w:cs="Arial"/>
                <w:sz w:val="20"/>
              </w:rPr>
            </w:pPr>
          </w:p>
        </w:tc>
      </w:tr>
      <w:tr w:rsidRPr="00810A2E" w:rsidR="007E0074" w:rsidTr="61B09BBB" w14:paraId="7FE7541A" w14:textId="77777777">
        <w:tc>
          <w:tcPr>
            <w:tcW w:w="397" w:type="pct"/>
            <w:tcMar/>
          </w:tcPr>
          <w:p w:rsidRPr="00810A2E" w:rsidR="007E0074" w:rsidP="00DB6AB5" w:rsidRDefault="007E0074" w14:paraId="237AE4CA" w14:textId="77777777">
            <w:pPr>
              <w:jc w:val="center"/>
              <w:rPr>
                <w:rFonts w:cs="Arial"/>
                <w:sz w:val="20"/>
              </w:rPr>
            </w:pPr>
            <w:r w:rsidRPr="00810A2E">
              <w:rPr>
                <w:rFonts w:cs="Arial"/>
                <w:sz w:val="20"/>
              </w:rPr>
              <w:t>3</w:t>
            </w:r>
          </w:p>
        </w:tc>
        <w:tc>
          <w:tcPr>
            <w:tcW w:w="462" w:type="pct"/>
            <w:tcMar/>
          </w:tcPr>
          <w:p w:rsidRPr="00810A2E" w:rsidR="007E0074" w:rsidP="00BB6A20" w:rsidRDefault="0088605D" w14:paraId="3CA7DBD8" w14:textId="7CF04C64">
            <w:pPr>
              <w:rPr>
                <w:rFonts w:cs="Arial"/>
                <w:sz w:val="20"/>
              </w:rPr>
            </w:pPr>
            <w:r>
              <w:rPr>
                <w:rFonts w:cs="Arial"/>
                <w:sz w:val="20"/>
              </w:rPr>
              <w:t>Guideline</w:t>
            </w:r>
          </w:p>
        </w:tc>
        <w:tc>
          <w:tcPr>
            <w:tcW w:w="366" w:type="pct"/>
            <w:tcMar/>
          </w:tcPr>
          <w:p w:rsidRPr="00810A2E" w:rsidR="007E0074" w:rsidP="00DB6AB5" w:rsidRDefault="00DF4453" w14:paraId="0EA9CBBB" w14:textId="0EAB1B02">
            <w:pPr>
              <w:rPr>
                <w:rFonts w:cs="Arial"/>
                <w:sz w:val="20"/>
              </w:rPr>
            </w:pPr>
            <w:r>
              <w:rPr>
                <w:rFonts w:cs="Arial"/>
                <w:sz w:val="20"/>
              </w:rPr>
              <w:t>12</w:t>
            </w:r>
          </w:p>
        </w:tc>
        <w:tc>
          <w:tcPr>
            <w:tcW w:w="400" w:type="pct"/>
            <w:tcMar/>
          </w:tcPr>
          <w:p w:rsidRPr="00810A2E" w:rsidR="007E0074" w:rsidP="00DB6AB5" w:rsidRDefault="00DF4453" w14:paraId="22F98BBE" w14:textId="5537DA4A">
            <w:pPr>
              <w:rPr>
                <w:rFonts w:cs="Arial"/>
                <w:sz w:val="20"/>
              </w:rPr>
            </w:pPr>
            <w:r>
              <w:rPr>
                <w:rFonts w:cs="Arial"/>
                <w:sz w:val="20"/>
              </w:rPr>
              <w:t>8</w:t>
            </w:r>
          </w:p>
        </w:tc>
        <w:tc>
          <w:tcPr>
            <w:tcW w:w="3376" w:type="pct"/>
            <w:tcMar/>
          </w:tcPr>
          <w:p w:rsidR="007E0074" w:rsidP="61B09BBB" w:rsidRDefault="00DF4453" w14:paraId="42B758BA" w14:textId="3305F4DD">
            <w:pPr>
              <w:pStyle w:val="Normal"/>
              <w:rPr>
                <w:rFonts w:ascii="Calibri" w:hAnsi="Calibri" w:eastAsia="Calibri" w:cs="Calibri"/>
                <w:noProof w:val="0"/>
                <w:sz w:val="22"/>
                <w:szCs w:val="22"/>
                <w:lang w:val="en-GB"/>
              </w:rPr>
            </w:pPr>
            <w:r w:rsidRPr="61B09BBB" w:rsidR="61B09BBB">
              <w:rPr>
                <w:rFonts w:cs="Arial"/>
                <w:sz w:val="20"/>
                <w:szCs w:val="20"/>
              </w:rPr>
              <w:t xml:space="preserve">There are times when you may need to withdraw the medication (perhaps slowly) to see if the condition has resolved </w:t>
            </w:r>
            <w:proofErr w:type="gramStart"/>
            <w:r w:rsidRPr="61B09BBB" w:rsidR="61B09BBB">
              <w:rPr>
                <w:rFonts w:cs="Arial"/>
                <w:sz w:val="20"/>
                <w:szCs w:val="20"/>
              </w:rPr>
              <w:t>e.g.</w:t>
            </w:r>
            <w:proofErr w:type="gramEnd"/>
            <w:r w:rsidRPr="61B09BBB" w:rsidR="61B09BBB">
              <w:rPr>
                <w:rFonts w:cs="Arial"/>
                <w:sz w:val="20"/>
                <w:szCs w:val="20"/>
              </w:rPr>
              <w:t xml:space="preserve"> z-drugs or if it believed that the medicine is no longer benefiting the person, or if ongoing benefit is unclear.  It may not always be clear the issue has gone away, and it is important to discuss this and encourage the patient to try.</w:t>
            </w:r>
          </w:p>
          <w:p w:rsidRPr="00810A2E" w:rsidR="00DF4453" w:rsidP="005A0634" w:rsidRDefault="00DF4453" w14:paraId="5A72C473" w14:textId="51F51870">
            <w:pPr>
              <w:rPr>
                <w:rFonts w:cs="Arial"/>
                <w:sz w:val="20"/>
              </w:rPr>
            </w:pPr>
          </w:p>
        </w:tc>
      </w:tr>
      <w:tr w:rsidRPr="00810A2E" w:rsidR="007E0074" w:rsidTr="61B09BBB" w14:paraId="18EA5D0A" w14:textId="77777777">
        <w:tc>
          <w:tcPr>
            <w:tcW w:w="397" w:type="pct"/>
            <w:tcMar/>
          </w:tcPr>
          <w:p w:rsidRPr="00810A2E" w:rsidR="007E0074" w:rsidP="00DB6AB5" w:rsidRDefault="00344D98" w14:paraId="689271F6" w14:textId="77777777">
            <w:pPr>
              <w:jc w:val="center"/>
              <w:rPr>
                <w:rFonts w:cs="Arial"/>
                <w:sz w:val="20"/>
              </w:rPr>
            </w:pPr>
            <w:r>
              <w:rPr>
                <w:rFonts w:cs="Arial"/>
                <w:sz w:val="20"/>
              </w:rPr>
              <w:lastRenderedPageBreak/>
              <w:t>4</w:t>
            </w:r>
          </w:p>
        </w:tc>
        <w:tc>
          <w:tcPr>
            <w:tcW w:w="462" w:type="pct"/>
            <w:tcMar/>
          </w:tcPr>
          <w:p w:rsidRPr="00810A2E" w:rsidR="007E0074" w:rsidP="00BB6A20" w:rsidRDefault="00DF4453" w14:paraId="552AE8C5" w14:textId="612A7C1B">
            <w:pPr>
              <w:rPr>
                <w:rFonts w:cs="Arial"/>
                <w:sz w:val="20"/>
              </w:rPr>
            </w:pPr>
            <w:r>
              <w:rPr>
                <w:rFonts w:cs="Arial"/>
                <w:sz w:val="20"/>
              </w:rPr>
              <w:t>Guideline</w:t>
            </w:r>
          </w:p>
        </w:tc>
        <w:tc>
          <w:tcPr>
            <w:tcW w:w="366" w:type="pct"/>
            <w:tcMar/>
          </w:tcPr>
          <w:p w:rsidRPr="00810A2E" w:rsidR="007E0074" w:rsidP="00DB6AB5" w:rsidRDefault="00DF4453" w14:paraId="6A30B7D0" w14:textId="76544D9E">
            <w:pPr>
              <w:rPr>
                <w:rFonts w:cs="Arial"/>
                <w:sz w:val="20"/>
              </w:rPr>
            </w:pPr>
            <w:r>
              <w:rPr>
                <w:rFonts w:cs="Arial"/>
                <w:sz w:val="20"/>
              </w:rPr>
              <w:t>15</w:t>
            </w:r>
          </w:p>
        </w:tc>
        <w:tc>
          <w:tcPr>
            <w:tcW w:w="400" w:type="pct"/>
            <w:tcMar/>
          </w:tcPr>
          <w:p w:rsidRPr="00810A2E" w:rsidR="007E0074" w:rsidP="00DB6AB5" w:rsidRDefault="00DF4453" w14:paraId="6A089621" w14:textId="7E7692FC">
            <w:pPr>
              <w:rPr>
                <w:rFonts w:cs="Arial"/>
                <w:sz w:val="20"/>
              </w:rPr>
            </w:pPr>
            <w:r>
              <w:rPr>
                <w:rFonts w:cs="Arial"/>
                <w:sz w:val="20"/>
              </w:rPr>
              <w:t>14</w:t>
            </w:r>
          </w:p>
        </w:tc>
        <w:tc>
          <w:tcPr>
            <w:tcW w:w="3376" w:type="pct"/>
            <w:tcMar/>
          </w:tcPr>
          <w:p w:rsidR="007E0074" w:rsidP="00DB6AB5" w:rsidRDefault="00DF4453" w14:paraId="518EAFB3" w14:textId="77777777">
            <w:pPr>
              <w:rPr>
                <w:rFonts w:cs="Arial"/>
                <w:sz w:val="20"/>
              </w:rPr>
            </w:pPr>
            <w:r>
              <w:rPr>
                <w:rFonts w:cs="Arial"/>
                <w:sz w:val="20"/>
              </w:rPr>
              <w:t xml:space="preserve">We do not believe this would </w:t>
            </w:r>
            <w:r w:rsidRPr="00DF4453">
              <w:rPr>
                <w:rFonts w:cs="Arial"/>
                <w:sz w:val="20"/>
              </w:rPr>
              <w:t>work, the patient would just take their normal dose or at the first hint of a problem would be taking more than agreed.  In practice</w:t>
            </w:r>
            <w:r>
              <w:rPr>
                <w:rFonts w:cs="Arial"/>
                <w:sz w:val="20"/>
              </w:rPr>
              <w:t xml:space="preserve">, </w:t>
            </w:r>
            <w:r w:rsidRPr="00DF4453">
              <w:rPr>
                <w:rFonts w:cs="Arial"/>
                <w:sz w:val="20"/>
              </w:rPr>
              <w:t>if you safety net appropriately, have an open discussion and the patient feels part of the discussion they should be able to come back to you if they are struggling.</w:t>
            </w:r>
          </w:p>
          <w:p w:rsidRPr="00810A2E" w:rsidR="00DF4453" w:rsidP="00DB6AB5" w:rsidRDefault="00DF4453" w14:paraId="66745B95" w14:textId="0FBFF109">
            <w:pPr>
              <w:rPr>
                <w:rFonts w:cs="Arial"/>
                <w:sz w:val="20"/>
              </w:rPr>
            </w:pPr>
          </w:p>
        </w:tc>
      </w:tr>
      <w:tr w:rsidRPr="00810A2E" w:rsidR="007E0074" w:rsidTr="61B09BBB" w14:paraId="03120EC7" w14:textId="77777777">
        <w:tc>
          <w:tcPr>
            <w:tcW w:w="397" w:type="pct"/>
            <w:tcMar/>
          </w:tcPr>
          <w:p w:rsidRPr="00810A2E" w:rsidR="007E0074" w:rsidP="00DB6AB5" w:rsidRDefault="00344D98" w14:paraId="72001069" w14:textId="77777777">
            <w:pPr>
              <w:jc w:val="center"/>
              <w:rPr>
                <w:rFonts w:cs="Arial"/>
                <w:sz w:val="20"/>
              </w:rPr>
            </w:pPr>
            <w:r>
              <w:rPr>
                <w:rFonts w:cs="Arial"/>
                <w:sz w:val="20"/>
              </w:rPr>
              <w:t>5</w:t>
            </w:r>
          </w:p>
        </w:tc>
        <w:tc>
          <w:tcPr>
            <w:tcW w:w="462" w:type="pct"/>
            <w:tcMar/>
          </w:tcPr>
          <w:p w:rsidRPr="00810A2E" w:rsidR="007E0074" w:rsidP="00BB6A20" w:rsidRDefault="0088605D" w14:paraId="07828CCD" w14:textId="6B35E644">
            <w:pPr>
              <w:rPr>
                <w:rFonts w:cs="Arial"/>
                <w:sz w:val="20"/>
              </w:rPr>
            </w:pPr>
            <w:r>
              <w:rPr>
                <w:rFonts w:cs="Arial"/>
                <w:sz w:val="20"/>
              </w:rPr>
              <w:t>Guideline</w:t>
            </w:r>
          </w:p>
        </w:tc>
        <w:tc>
          <w:tcPr>
            <w:tcW w:w="366" w:type="pct"/>
            <w:tcMar/>
          </w:tcPr>
          <w:p w:rsidRPr="00810A2E" w:rsidR="007E0074" w:rsidP="00DB6AB5" w:rsidRDefault="00DF4453" w14:paraId="3660434E" w14:textId="4D6578CD">
            <w:pPr>
              <w:rPr>
                <w:rFonts w:cs="Arial"/>
                <w:sz w:val="20"/>
              </w:rPr>
            </w:pPr>
            <w:r>
              <w:rPr>
                <w:rFonts w:cs="Arial"/>
                <w:sz w:val="20"/>
              </w:rPr>
              <w:t>15</w:t>
            </w:r>
          </w:p>
        </w:tc>
        <w:tc>
          <w:tcPr>
            <w:tcW w:w="400" w:type="pct"/>
            <w:tcMar/>
          </w:tcPr>
          <w:p w:rsidRPr="00810A2E" w:rsidR="007E0074" w:rsidP="00DB6AB5" w:rsidRDefault="00DF4453" w14:paraId="2602CEF8" w14:textId="2B122BC0">
            <w:pPr>
              <w:rPr>
                <w:rFonts w:cs="Arial"/>
                <w:sz w:val="20"/>
              </w:rPr>
            </w:pPr>
            <w:r>
              <w:rPr>
                <w:rFonts w:cs="Arial"/>
                <w:sz w:val="20"/>
              </w:rPr>
              <w:t>22</w:t>
            </w:r>
          </w:p>
        </w:tc>
        <w:tc>
          <w:tcPr>
            <w:tcW w:w="3376" w:type="pct"/>
            <w:tcMar/>
          </w:tcPr>
          <w:p w:rsidR="007E0074" w:rsidP="00DB6AB5" w:rsidRDefault="00DF4453" w14:paraId="159A7BF6" w14:textId="77777777">
            <w:pPr>
              <w:rPr>
                <w:rFonts w:cs="Arial"/>
                <w:sz w:val="20"/>
              </w:rPr>
            </w:pPr>
            <w:r w:rsidRPr="00DF4453">
              <w:rPr>
                <w:rFonts w:cs="Arial"/>
                <w:sz w:val="20"/>
              </w:rPr>
              <w:t>Also consider if on two or more benzo</w:t>
            </w:r>
            <w:r w:rsidR="0088605D">
              <w:rPr>
                <w:rFonts w:cs="Arial"/>
                <w:sz w:val="20"/>
              </w:rPr>
              <w:t>diazepine</w:t>
            </w:r>
            <w:r w:rsidRPr="00DF4453">
              <w:rPr>
                <w:rFonts w:cs="Arial"/>
                <w:sz w:val="20"/>
              </w:rPr>
              <w:t>s switching to an equivalent dose of one before reduction.</w:t>
            </w:r>
          </w:p>
          <w:p w:rsidRPr="00810A2E" w:rsidR="0088605D" w:rsidP="00DB6AB5" w:rsidRDefault="0088605D" w14:paraId="54CACC72" w14:textId="06DADE9A">
            <w:pPr>
              <w:rPr>
                <w:rFonts w:cs="Arial"/>
                <w:sz w:val="20"/>
              </w:rPr>
            </w:pPr>
          </w:p>
        </w:tc>
      </w:tr>
      <w:tr w:rsidRPr="00810A2E" w:rsidR="007E0074" w:rsidTr="61B09BBB" w14:paraId="30631AC1" w14:textId="77777777">
        <w:tc>
          <w:tcPr>
            <w:tcW w:w="397" w:type="pct"/>
            <w:tcMar/>
          </w:tcPr>
          <w:p w:rsidRPr="00810A2E" w:rsidR="007E0074" w:rsidP="00DB6AB5" w:rsidRDefault="00344D98" w14:paraId="66CDA834" w14:textId="77777777">
            <w:pPr>
              <w:jc w:val="center"/>
              <w:rPr>
                <w:rFonts w:cs="Arial"/>
                <w:sz w:val="20"/>
              </w:rPr>
            </w:pPr>
            <w:r>
              <w:rPr>
                <w:rFonts w:cs="Arial"/>
                <w:sz w:val="20"/>
              </w:rPr>
              <w:t>6</w:t>
            </w:r>
          </w:p>
        </w:tc>
        <w:tc>
          <w:tcPr>
            <w:tcW w:w="462" w:type="pct"/>
            <w:tcMar/>
          </w:tcPr>
          <w:p w:rsidRPr="00810A2E" w:rsidR="007E0074" w:rsidP="00DB6AB5" w:rsidRDefault="0088605D" w14:paraId="7ABAD0C5" w14:textId="5410BD44">
            <w:pPr>
              <w:rPr>
                <w:rFonts w:cs="Arial"/>
                <w:sz w:val="20"/>
              </w:rPr>
            </w:pPr>
            <w:r>
              <w:rPr>
                <w:rFonts w:cs="Arial"/>
                <w:sz w:val="20"/>
              </w:rPr>
              <w:t>Guideline</w:t>
            </w:r>
          </w:p>
        </w:tc>
        <w:tc>
          <w:tcPr>
            <w:tcW w:w="366" w:type="pct"/>
            <w:tcMar/>
          </w:tcPr>
          <w:p w:rsidRPr="00810A2E" w:rsidR="007E0074" w:rsidP="00DB6AB5" w:rsidRDefault="00E119C4" w14:paraId="6BE80C66" w14:textId="73EDE396">
            <w:pPr>
              <w:rPr>
                <w:rFonts w:cs="Arial"/>
                <w:sz w:val="20"/>
              </w:rPr>
            </w:pPr>
            <w:r>
              <w:rPr>
                <w:rFonts w:cs="Arial"/>
                <w:sz w:val="20"/>
              </w:rPr>
              <w:t>16</w:t>
            </w:r>
          </w:p>
        </w:tc>
        <w:tc>
          <w:tcPr>
            <w:tcW w:w="400" w:type="pct"/>
            <w:tcMar/>
          </w:tcPr>
          <w:p w:rsidRPr="00810A2E" w:rsidR="007E0074" w:rsidP="00DB6AB5" w:rsidRDefault="0088605D" w14:paraId="4030A88E" w14:textId="7B7A667C">
            <w:pPr>
              <w:rPr>
                <w:rFonts w:cs="Arial"/>
                <w:sz w:val="20"/>
              </w:rPr>
            </w:pPr>
            <w:r>
              <w:rPr>
                <w:rFonts w:cs="Arial"/>
                <w:sz w:val="20"/>
              </w:rPr>
              <w:t>20</w:t>
            </w:r>
          </w:p>
        </w:tc>
        <w:tc>
          <w:tcPr>
            <w:tcW w:w="3376" w:type="pct"/>
            <w:tcMar/>
          </w:tcPr>
          <w:p w:rsidR="007E0074" w:rsidP="00DB6AB5" w:rsidRDefault="0088605D" w14:paraId="6AF652FF" w14:textId="77777777">
            <w:pPr>
              <w:rPr>
                <w:rFonts w:cs="Arial"/>
                <w:sz w:val="20"/>
              </w:rPr>
            </w:pPr>
            <w:r>
              <w:rPr>
                <w:rFonts w:cs="Arial"/>
                <w:sz w:val="20"/>
              </w:rPr>
              <w:t xml:space="preserve">The guidance </w:t>
            </w:r>
            <w:r w:rsidRPr="00E119C4" w:rsidR="00E119C4">
              <w:rPr>
                <w:rFonts w:cs="Arial"/>
                <w:sz w:val="20"/>
              </w:rPr>
              <w:t>ha</w:t>
            </w:r>
            <w:r>
              <w:rPr>
                <w:rFonts w:cs="Arial"/>
                <w:sz w:val="20"/>
              </w:rPr>
              <w:t>s</w:t>
            </w:r>
            <w:r w:rsidRPr="00E119C4" w:rsidR="00E119C4">
              <w:rPr>
                <w:rFonts w:cs="Arial"/>
                <w:sz w:val="20"/>
              </w:rPr>
              <w:t xml:space="preserve"> </w:t>
            </w:r>
            <w:r>
              <w:rPr>
                <w:rFonts w:cs="Arial"/>
                <w:sz w:val="20"/>
              </w:rPr>
              <w:t>a list of</w:t>
            </w:r>
            <w:r w:rsidRPr="00E119C4" w:rsidR="00E119C4">
              <w:rPr>
                <w:rFonts w:cs="Arial"/>
                <w:sz w:val="20"/>
              </w:rPr>
              <w:t xml:space="preserve"> ‘do nots’ </w:t>
            </w:r>
            <w:r>
              <w:rPr>
                <w:rFonts w:cs="Arial"/>
                <w:sz w:val="20"/>
              </w:rPr>
              <w:t xml:space="preserve">but does </w:t>
            </w:r>
            <w:r w:rsidRPr="00E119C4" w:rsidR="00E119C4">
              <w:rPr>
                <w:rFonts w:cs="Arial"/>
                <w:sz w:val="20"/>
              </w:rPr>
              <w:t>not provide any practical guidance on interventions</w:t>
            </w:r>
            <w:r>
              <w:rPr>
                <w:rFonts w:cs="Arial"/>
                <w:sz w:val="20"/>
              </w:rPr>
              <w:t>. We would suggest that</w:t>
            </w:r>
            <w:r w:rsidRPr="00E119C4" w:rsidR="00E119C4">
              <w:rPr>
                <w:rFonts w:cs="Arial"/>
                <w:sz w:val="20"/>
              </w:rPr>
              <w:t xml:space="preserve"> referring people to peer support groups (</w:t>
            </w:r>
            <w:r>
              <w:rPr>
                <w:rFonts w:cs="Arial"/>
                <w:sz w:val="20"/>
              </w:rPr>
              <w:t xml:space="preserve">possibly </w:t>
            </w:r>
            <w:r w:rsidRPr="00E119C4" w:rsidR="00E119C4">
              <w:rPr>
                <w:rFonts w:cs="Arial"/>
                <w:sz w:val="20"/>
              </w:rPr>
              <w:t xml:space="preserve">online) should be </w:t>
            </w:r>
            <w:r w:rsidRPr="00E119C4">
              <w:rPr>
                <w:rFonts w:cs="Arial"/>
                <w:sz w:val="20"/>
              </w:rPr>
              <w:t>included</w:t>
            </w:r>
            <w:r>
              <w:rPr>
                <w:rFonts w:cs="Arial"/>
                <w:sz w:val="20"/>
              </w:rPr>
              <w:t xml:space="preserve"> as well as the </w:t>
            </w:r>
            <w:r w:rsidRPr="00E119C4" w:rsidR="00E119C4">
              <w:rPr>
                <w:rFonts w:cs="Arial"/>
                <w:sz w:val="20"/>
              </w:rPr>
              <w:t>need for services including psych-social interventions.</w:t>
            </w:r>
          </w:p>
          <w:p w:rsidRPr="00810A2E" w:rsidR="0088605D" w:rsidP="00DB6AB5" w:rsidRDefault="0088605D" w14:paraId="25BF2109" w14:textId="030ED462">
            <w:pPr>
              <w:rPr>
                <w:rFonts w:cs="Arial"/>
                <w:sz w:val="20"/>
              </w:rPr>
            </w:pPr>
          </w:p>
        </w:tc>
      </w:tr>
      <w:tr w:rsidRPr="00810A2E" w:rsidR="00E119C4" w:rsidTr="61B09BBB" w14:paraId="2D0E5D7B" w14:textId="77777777">
        <w:tc>
          <w:tcPr>
            <w:tcW w:w="397" w:type="pct"/>
            <w:tcMar/>
          </w:tcPr>
          <w:p w:rsidR="00E119C4" w:rsidP="00DB6AB5" w:rsidRDefault="0088605D" w14:paraId="26AA5F5B" w14:textId="29AFA678">
            <w:pPr>
              <w:jc w:val="center"/>
              <w:rPr>
                <w:rFonts w:cs="Arial"/>
                <w:sz w:val="20"/>
              </w:rPr>
            </w:pPr>
            <w:r>
              <w:rPr>
                <w:rFonts w:cs="Arial"/>
                <w:sz w:val="20"/>
              </w:rPr>
              <w:t>7</w:t>
            </w:r>
          </w:p>
        </w:tc>
        <w:tc>
          <w:tcPr>
            <w:tcW w:w="462" w:type="pct"/>
            <w:tcMar/>
          </w:tcPr>
          <w:p w:rsidRPr="00810A2E" w:rsidR="00E119C4" w:rsidP="00DB6AB5" w:rsidRDefault="0088605D" w14:paraId="7118F388" w14:textId="42135905">
            <w:pPr>
              <w:rPr>
                <w:rFonts w:cs="Arial"/>
                <w:sz w:val="20"/>
              </w:rPr>
            </w:pPr>
            <w:r>
              <w:rPr>
                <w:rFonts w:cs="Arial"/>
                <w:sz w:val="20"/>
              </w:rPr>
              <w:t>Guideline</w:t>
            </w:r>
          </w:p>
        </w:tc>
        <w:tc>
          <w:tcPr>
            <w:tcW w:w="366" w:type="pct"/>
            <w:tcMar/>
          </w:tcPr>
          <w:p w:rsidRPr="00810A2E" w:rsidR="00E119C4" w:rsidP="00DB6AB5" w:rsidRDefault="0088605D" w14:paraId="6543A190" w14:textId="240AEBCB">
            <w:pPr>
              <w:rPr>
                <w:rFonts w:cs="Arial"/>
                <w:sz w:val="20"/>
              </w:rPr>
            </w:pPr>
            <w:r>
              <w:rPr>
                <w:rFonts w:cs="Arial"/>
                <w:sz w:val="20"/>
              </w:rPr>
              <w:t xml:space="preserve">General </w:t>
            </w:r>
          </w:p>
        </w:tc>
        <w:tc>
          <w:tcPr>
            <w:tcW w:w="400" w:type="pct"/>
            <w:tcMar/>
          </w:tcPr>
          <w:p w:rsidRPr="00810A2E" w:rsidR="00E119C4" w:rsidP="00DB6AB5" w:rsidRDefault="0088605D" w14:paraId="6E9A0693" w14:textId="2E98C524">
            <w:pPr>
              <w:rPr>
                <w:rFonts w:cs="Arial"/>
                <w:sz w:val="20"/>
              </w:rPr>
            </w:pPr>
            <w:r>
              <w:rPr>
                <w:rFonts w:cs="Arial"/>
                <w:sz w:val="20"/>
              </w:rPr>
              <w:t>General</w:t>
            </w:r>
          </w:p>
        </w:tc>
        <w:tc>
          <w:tcPr>
            <w:tcW w:w="3376" w:type="pct"/>
            <w:tcMar/>
          </w:tcPr>
          <w:p w:rsidR="0088605D" w:rsidP="0088605D" w:rsidRDefault="00E119C4" w14:paraId="40923260" w14:textId="77777777">
            <w:pPr>
              <w:rPr>
                <w:rFonts w:cs="Arial"/>
                <w:sz w:val="20"/>
              </w:rPr>
            </w:pPr>
            <w:r w:rsidRPr="00E119C4">
              <w:rPr>
                <w:rFonts w:cs="Arial"/>
                <w:sz w:val="20"/>
              </w:rPr>
              <w:t xml:space="preserve">The guidelines mention ‘slow tapering’ but </w:t>
            </w:r>
            <w:r w:rsidR="0088605D">
              <w:rPr>
                <w:rFonts w:cs="Arial"/>
                <w:sz w:val="20"/>
              </w:rPr>
              <w:t xml:space="preserve">we feel </w:t>
            </w:r>
            <w:r w:rsidRPr="00E119C4">
              <w:rPr>
                <w:rFonts w:cs="Arial"/>
                <w:sz w:val="20"/>
              </w:rPr>
              <w:t>that this is open to too much interpretation and could be harmful.</w:t>
            </w:r>
            <w:r>
              <w:rPr>
                <w:rFonts w:cs="Arial"/>
                <w:sz w:val="20"/>
              </w:rPr>
              <w:t xml:space="preserve"> </w:t>
            </w:r>
            <w:r w:rsidR="0088605D">
              <w:rPr>
                <w:rFonts w:cs="Arial"/>
                <w:sz w:val="20"/>
              </w:rPr>
              <w:t>The guidance should i</w:t>
            </w:r>
            <w:r w:rsidRPr="00E119C4">
              <w:rPr>
                <w:rFonts w:cs="Arial"/>
                <w:sz w:val="20"/>
              </w:rPr>
              <w:t>nclude information on tapering rates, the interval between dose reductions, how to reduce doses and the overall duration of taper.</w:t>
            </w:r>
            <w:r w:rsidR="0088605D">
              <w:rPr>
                <w:rFonts w:cs="Arial"/>
                <w:sz w:val="20"/>
              </w:rPr>
              <w:t xml:space="preserve"> </w:t>
            </w:r>
            <w:r w:rsidR="0088605D">
              <w:rPr>
                <w:rFonts w:cs="Arial"/>
                <w:sz w:val="20"/>
              </w:rPr>
              <w:t xml:space="preserve">The guideline appears to </w:t>
            </w:r>
            <w:r w:rsidRPr="00E119C4" w:rsidR="0088605D">
              <w:rPr>
                <w:rFonts w:cs="Arial"/>
                <w:sz w:val="20"/>
              </w:rPr>
              <w:t xml:space="preserve">focus </w:t>
            </w:r>
            <w:r w:rsidR="0088605D">
              <w:rPr>
                <w:rFonts w:cs="Arial"/>
                <w:sz w:val="20"/>
              </w:rPr>
              <w:t>on</w:t>
            </w:r>
            <w:r w:rsidRPr="00E119C4" w:rsidR="0088605D">
              <w:rPr>
                <w:rFonts w:cs="Arial"/>
                <w:sz w:val="20"/>
              </w:rPr>
              <w:t xml:space="preserve"> quick withdrawal based on other incentivising factors such as SMART goals and this is not appropriate for this category of medicines. </w:t>
            </w:r>
            <w:r w:rsidR="0088605D">
              <w:rPr>
                <w:rFonts w:cs="Arial"/>
                <w:sz w:val="20"/>
              </w:rPr>
              <w:t xml:space="preserve"> We believe that the p</w:t>
            </w:r>
            <w:r w:rsidRPr="00E119C4" w:rsidR="0088605D">
              <w:rPr>
                <w:rFonts w:cs="Arial"/>
                <w:sz w:val="20"/>
              </w:rPr>
              <w:t>atient should be empowered to be in control of the speed of tapering</w:t>
            </w:r>
          </w:p>
          <w:p w:rsidRPr="00810A2E" w:rsidR="00E119C4" w:rsidP="00DB6AB5" w:rsidRDefault="00E119C4" w14:paraId="25FB1982" w14:textId="43A36D75">
            <w:pPr>
              <w:rPr>
                <w:rFonts w:cs="Arial"/>
                <w:sz w:val="20"/>
              </w:rPr>
            </w:pPr>
          </w:p>
        </w:tc>
      </w:tr>
      <w:tr w:rsidRPr="00810A2E" w:rsidR="00DF4453" w:rsidTr="61B09BBB" w14:paraId="2342C725" w14:textId="77777777">
        <w:tc>
          <w:tcPr>
            <w:tcW w:w="397" w:type="pct"/>
            <w:tcMar/>
          </w:tcPr>
          <w:p w:rsidR="00DF4453" w:rsidP="00DB6AB5" w:rsidRDefault="0088605D" w14:paraId="39239667" w14:textId="52921319">
            <w:pPr>
              <w:jc w:val="center"/>
              <w:rPr>
                <w:rFonts w:cs="Arial"/>
                <w:sz w:val="20"/>
              </w:rPr>
            </w:pPr>
            <w:r>
              <w:rPr>
                <w:rFonts w:cs="Arial"/>
                <w:sz w:val="20"/>
              </w:rPr>
              <w:t>8</w:t>
            </w:r>
          </w:p>
        </w:tc>
        <w:tc>
          <w:tcPr>
            <w:tcW w:w="462" w:type="pct"/>
            <w:tcMar/>
          </w:tcPr>
          <w:p w:rsidRPr="00810A2E" w:rsidR="00DF4453" w:rsidP="00DB6AB5" w:rsidRDefault="00E119C4" w14:paraId="254DD2F3" w14:textId="6E3D11C3">
            <w:pPr>
              <w:rPr>
                <w:rFonts w:cs="Arial"/>
                <w:sz w:val="20"/>
              </w:rPr>
            </w:pPr>
            <w:r>
              <w:rPr>
                <w:rFonts w:cs="Arial"/>
                <w:sz w:val="20"/>
              </w:rPr>
              <w:t>Guideline</w:t>
            </w:r>
          </w:p>
        </w:tc>
        <w:tc>
          <w:tcPr>
            <w:tcW w:w="366" w:type="pct"/>
            <w:tcMar/>
          </w:tcPr>
          <w:p w:rsidRPr="00810A2E" w:rsidR="00DF4453" w:rsidP="00DB6AB5" w:rsidRDefault="00E119C4" w14:paraId="35A26C79" w14:textId="34A8D73A">
            <w:pPr>
              <w:rPr>
                <w:rFonts w:cs="Arial"/>
                <w:sz w:val="20"/>
              </w:rPr>
            </w:pPr>
            <w:r>
              <w:rPr>
                <w:rFonts w:cs="Arial"/>
                <w:sz w:val="20"/>
              </w:rPr>
              <w:t>General</w:t>
            </w:r>
          </w:p>
        </w:tc>
        <w:tc>
          <w:tcPr>
            <w:tcW w:w="400" w:type="pct"/>
            <w:tcMar/>
          </w:tcPr>
          <w:p w:rsidRPr="00810A2E" w:rsidR="00DF4453" w:rsidP="00DB6AB5" w:rsidRDefault="00E119C4" w14:paraId="332840A4" w14:textId="15261005">
            <w:pPr>
              <w:rPr>
                <w:rFonts w:cs="Arial"/>
                <w:sz w:val="20"/>
              </w:rPr>
            </w:pPr>
            <w:r>
              <w:rPr>
                <w:rFonts w:cs="Arial"/>
                <w:sz w:val="20"/>
              </w:rPr>
              <w:t>General</w:t>
            </w:r>
          </w:p>
        </w:tc>
        <w:tc>
          <w:tcPr>
            <w:tcW w:w="3376" w:type="pct"/>
            <w:tcMar/>
          </w:tcPr>
          <w:p w:rsidR="00DF4453" w:rsidP="61B09BBB" w:rsidRDefault="00E119C4" w14:paraId="66C900E5" w14:textId="0A485671">
            <w:pPr>
              <w:rPr>
                <w:rFonts w:cs="Arial"/>
                <w:sz w:val="20"/>
                <w:szCs w:val="20"/>
              </w:rPr>
            </w:pPr>
            <w:r w:rsidRPr="61B09BBB" w:rsidR="61B09BBB">
              <w:rPr>
                <w:rFonts w:cs="Arial"/>
                <w:sz w:val="20"/>
                <w:szCs w:val="20"/>
              </w:rPr>
              <w:t>There is no real mention throughout about the importance of communication with all those involved in the patients care e.g. community pharmacists important particularly where abuse is a factor, leading to for example over-ordering which sometimes gets missed by prescribers. This can not only facilitate early intervention in the case of issues that arise but can also prevent the patient from having to repeat aspects of their conditions or circumstances they may not want to.  This should be with patients consent and may not be necessary in every case.</w:t>
            </w:r>
          </w:p>
          <w:p w:rsidRPr="00810A2E" w:rsidR="00E119C4" w:rsidP="00DB6AB5" w:rsidRDefault="00E119C4" w14:paraId="2A448F86" w14:textId="4742BFE8">
            <w:pPr>
              <w:rPr>
                <w:rFonts w:cs="Arial"/>
                <w:sz w:val="20"/>
              </w:rPr>
            </w:pPr>
          </w:p>
        </w:tc>
      </w:tr>
      <w:tr w:rsidRPr="00810A2E" w:rsidR="00E119C4" w:rsidTr="61B09BBB" w14:paraId="41979B2E" w14:textId="77777777">
        <w:tc>
          <w:tcPr>
            <w:tcW w:w="397" w:type="pct"/>
            <w:tcMar/>
          </w:tcPr>
          <w:p w:rsidR="00E119C4" w:rsidP="00DB6AB5" w:rsidRDefault="0088605D" w14:paraId="5B8068FF" w14:textId="48F38730">
            <w:pPr>
              <w:jc w:val="center"/>
              <w:rPr>
                <w:rFonts w:cs="Arial"/>
                <w:sz w:val="20"/>
              </w:rPr>
            </w:pPr>
            <w:r>
              <w:rPr>
                <w:rFonts w:cs="Arial"/>
                <w:sz w:val="20"/>
              </w:rPr>
              <w:t>9</w:t>
            </w:r>
          </w:p>
        </w:tc>
        <w:tc>
          <w:tcPr>
            <w:tcW w:w="462" w:type="pct"/>
            <w:tcMar/>
          </w:tcPr>
          <w:p w:rsidR="00E119C4" w:rsidP="00DB6AB5" w:rsidRDefault="0088605D" w14:paraId="6848EB21" w14:textId="03F37A65">
            <w:pPr>
              <w:rPr>
                <w:rFonts w:cs="Arial"/>
                <w:sz w:val="20"/>
              </w:rPr>
            </w:pPr>
            <w:r>
              <w:rPr>
                <w:rFonts w:cs="Arial"/>
                <w:sz w:val="20"/>
              </w:rPr>
              <w:t>Guideline</w:t>
            </w:r>
          </w:p>
        </w:tc>
        <w:tc>
          <w:tcPr>
            <w:tcW w:w="366" w:type="pct"/>
            <w:tcMar/>
          </w:tcPr>
          <w:p w:rsidR="00E119C4" w:rsidP="00DB6AB5" w:rsidRDefault="0088605D" w14:paraId="507151CA" w14:textId="02703467">
            <w:pPr>
              <w:rPr>
                <w:rFonts w:cs="Arial"/>
                <w:sz w:val="20"/>
              </w:rPr>
            </w:pPr>
            <w:r>
              <w:rPr>
                <w:rFonts w:cs="Arial"/>
                <w:sz w:val="20"/>
              </w:rPr>
              <w:t>General</w:t>
            </w:r>
          </w:p>
        </w:tc>
        <w:tc>
          <w:tcPr>
            <w:tcW w:w="400" w:type="pct"/>
            <w:tcMar/>
          </w:tcPr>
          <w:p w:rsidR="00E119C4" w:rsidP="00DB6AB5" w:rsidRDefault="0088605D" w14:paraId="265B9571" w14:textId="5C8894C9">
            <w:pPr>
              <w:rPr>
                <w:rFonts w:cs="Arial"/>
                <w:sz w:val="20"/>
              </w:rPr>
            </w:pPr>
            <w:r>
              <w:rPr>
                <w:rFonts w:cs="Arial"/>
                <w:sz w:val="20"/>
              </w:rPr>
              <w:t>General</w:t>
            </w:r>
          </w:p>
        </w:tc>
        <w:tc>
          <w:tcPr>
            <w:tcW w:w="3376" w:type="pct"/>
            <w:tcMar/>
          </w:tcPr>
          <w:p w:rsidRPr="00E119C4" w:rsidR="00E119C4" w:rsidP="00E119C4" w:rsidRDefault="00E119C4" w14:paraId="585B72AC" w14:textId="360BE8A9">
            <w:pPr>
              <w:rPr>
                <w:rFonts w:cs="Arial"/>
                <w:sz w:val="20"/>
              </w:rPr>
            </w:pPr>
            <w:r w:rsidRPr="00E119C4">
              <w:rPr>
                <w:rFonts w:cs="Arial"/>
                <w:sz w:val="20"/>
              </w:rPr>
              <w:t>The</w:t>
            </w:r>
            <w:r w:rsidR="0088605D">
              <w:rPr>
                <w:rFonts w:cs="Arial"/>
                <w:sz w:val="20"/>
              </w:rPr>
              <w:t>re are</w:t>
            </w:r>
            <w:r w:rsidRPr="00E119C4">
              <w:rPr>
                <w:rFonts w:cs="Arial"/>
                <w:sz w:val="20"/>
              </w:rPr>
              <w:t xml:space="preserve"> gaps in the guidelines around the withdrawal aspect </w:t>
            </w:r>
            <w:r w:rsidR="0088605D">
              <w:rPr>
                <w:rFonts w:cs="Arial"/>
                <w:sz w:val="20"/>
              </w:rPr>
              <w:t xml:space="preserve">which should </w:t>
            </w:r>
            <w:r w:rsidRPr="00E119C4">
              <w:rPr>
                <w:rFonts w:cs="Arial"/>
                <w:sz w:val="20"/>
              </w:rPr>
              <w:t>include practical steps that professionals need to support patients</w:t>
            </w:r>
          </w:p>
          <w:p w:rsidRPr="0088605D" w:rsidR="00E119C4" w:rsidP="0088605D" w:rsidRDefault="00E119C4" w14:paraId="474B0EAB" w14:textId="21FEC9DC">
            <w:pPr>
              <w:pStyle w:val="ListParagraph"/>
              <w:numPr>
                <w:ilvl w:val="0"/>
                <w:numId w:val="12"/>
              </w:numPr>
              <w:rPr>
                <w:rFonts w:cs="Arial"/>
                <w:sz w:val="20"/>
              </w:rPr>
            </w:pPr>
            <w:r w:rsidRPr="0088605D">
              <w:rPr>
                <w:rFonts w:cs="Arial"/>
                <w:sz w:val="20"/>
              </w:rPr>
              <w:t>Tapering – including duration of taper</w:t>
            </w:r>
          </w:p>
          <w:p w:rsidR="0088605D" w:rsidP="0088605D" w:rsidRDefault="00E119C4" w14:paraId="596B43A4" w14:textId="77777777">
            <w:pPr>
              <w:pStyle w:val="ListParagraph"/>
              <w:numPr>
                <w:ilvl w:val="0"/>
                <w:numId w:val="12"/>
              </w:numPr>
              <w:rPr>
                <w:rFonts w:cs="Arial"/>
                <w:sz w:val="20"/>
              </w:rPr>
            </w:pPr>
            <w:r w:rsidRPr="0088605D">
              <w:rPr>
                <w:rFonts w:cs="Arial"/>
                <w:sz w:val="20"/>
              </w:rPr>
              <w:t>Dose reduction – including how to reduce</w:t>
            </w:r>
            <w:r w:rsidR="0088605D">
              <w:rPr>
                <w:rFonts w:cs="Arial"/>
                <w:sz w:val="20"/>
              </w:rPr>
              <w:t xml:space="preserve"> medicines</w:t>
            </w:r>
          </w:p>
          <w:p w:rsidRPr="0088605D" w:rsidR="0088605D" w:rsidP="0088605D" w:rsidRDefault="0088605D" w14:paraId="2280C879" w14:textId="609F46C8">
            <w:pPr>
              <w:pStyle w:val="ListParagraph"/>
              <w:rPr>
                <w:rFonts w:cs="Arial"/>
                <w:sz w:val="20"/>
              </w:rPr>
            </w:pPr>
          </w:p>
        </w:tc>
      </w:tr>
    </w:tbl>
    <w:p w:rsidR="00A75B8B" w:rsidP="00FC2698" w:rsidRDefault="00344D98" w14:paraId="650638B3" w14:textId="77777777">
      <w:pPr>
        <w:rPr>
          <w:sz w:val="16"/>
          <w:szCs w:val="16"/>
        </w:rPr>
      </w:pPr>
      <w:r>
        <w:rPr>
          <w:sz w:val="16"/>
          <w:szCs w:val="16"/>
        </w:rPr>
        <w:t>Insert extra rows as needed</w:t>
      </w:r>
    </w:p>
    <w:p w:rsidR="00344D98" w:rsidP="00FC2698" w:rsidRDefault="00344D98" w14:paraId="3ABA1C05"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8"/>
      </w:tblGrid>
      <w:tr w:rsidRPr="009071D4" w:rsidR="003F6C97" w:rsidTr="009071D4" w14:paraId="063C6C6D" w14:textId="77777777">
        <w:tc>
          <w:tcPr>
            <w:tcW w:w="15352" w:type="dxa"/>
            <w:shd w:val="clear" w:color="auto" w:fill="auto"/>
          </w:tcPr>
          <w:p w:rsidR="003F6C97" w:rsidP="003F6C97" w:rsidRDefault="003F6C97" w14:paraId="10D1C25D" w14:textId="77777777">
            <w:pPr>
              <w:rPr>
                <w:rFonts w:cs="Arial"/>
                <w:b/>
                <w:sz w:val="24"/>
                <w:szCs w:val="24"/>
              </w:rPr>
            </w:pPr>
            <w:r w:rsidRPr="000C30A4">
              <w:rPr>
                <w:rFonts w:cs="Arial"/>
                <w:b/>
                <w:sz w:val="24"/>
                <w:szCs w:val="24"/>
              </w:rPr>
              <w:t>Checklist for submitting comments</w:t>
            </w:r>
          </w:p>
          <w:p w:rsidRPr="000C30A4" w:rsidR="006B19C9" w:rsidP="003F6C97" w:rsidRDefault="006B19C9" w14:paraId="5A1A1564" w14:textId="77777777">
            <w:pPr>
              <w:rPr>
                <w:rFonts w:cs="Arial"/>
                <w:b/>
                <w:sz w:val="24"/>
                <w:szCs w:val="24"/>
              </w:rPr>
            </w:pPr>
          </w:p>
          <w:p w:rsidR="003F6C97" w:rsidP="00D36D76" w:rsidRDefault="003F6C97" w14:paraId="35B39298" w14:textId="77777777">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rsidR="00D36D76" w:rsidP="00D36D76" w:rsidRDefault="00D36D76" w14:paraId="450B8EF6" w14:textId="77777777">
            <w:pPr>
              <w:numPr>
                <w:ilvl w:val="0"/>
                <w:numId w:val="9"/>
              </w:numPr>
              <w:rPr>
                <w:sz w:val="24"/>
                <w:szCs w:val="24"/>
              </w:rPr>
            </w:pPr>
            <w:r>
              <w:rPr>
                <w:sz w:val="24"/>
                <w:szCs w:val="24"/>
              </w:rPr>
              <w:t>Complete the disclosure about links with, or funding from, the tobacco industry.</w:t>
            </w:r>
          </w:p>
          <w:p w:rsidRPr="000C30A4" w:rsidR="004E107E" w:rsidP="00D36D76" w:rsidRDefault="004E107E" w14:paraId="6778409E" w14:textId="77777777">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Pr="000C30A4" w:rsidR="003F6C97" w:rsidP="00D36D76" w:rsidRDefault="003F6C97" w14:paraId="0B53D1A8" w14:textId="77777777">
            <w:pPr>
              <w:numPr>
                <w:ilvl w:val="0"/>
                <w:numId w:val="9"/>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P="00D36D76" w:rsidRDefault="00344D98" w14:paraId="299ECEDB" w14:textId="77777777">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rsidRPr="0073545F" w:rsidR="0073545F" w:rsidP="005A431F" w:rsidRDefault="0073545F" w14:paraId="4C728392" w14:textId="77777777">
            <w:pPr>
              <w:numPr>
                <w:ilvl w:val="0"/>
                <w:numId w:val="9"/>
              </w:numPr>
              <w:rPr>
                <w:rFonts w:cs="Arial"/>
                <w:sz w:val="24"/>
                <w:szCs w:val="24"/>
              </w:rPr>
            </w:pPr>
            <w:r w:rsidRPr="0073545F">
              <w:rPr>
                <w:sz w:val="24"/>
                <w:szCs w:val="24"/>
              </w:rPr>
              <w:t>Ensure each comment stands alone; do not cross-refer within one comment to another comment.</w:t>
            </w:r>
          </w:p>
          <w:p w:rsidRPr="00AA6E9B" w:rsidR="003F6C97" w:rsidP="00D36D76" w:rsidRDefault="006B19C9" w14:paraId="602E53F9" w14:textId="77777777">
            <w:pPr>
              <w:numPr>
                <w:ilvl w:val="0"/>
                <w:numId w:val="9"/>
              </w:numPr>
              <w:rPr>
                <w:rFonts w:cs="Arial"/>
                <w:b/>
                <w:sz w:val="24"/>
                <w:szCs w:val="24"/>
              </w:rPr>
            </w:pPr>
            <w:r>
              <w:rPr>
                <w:rFonts w:cs="Arial"/>
                <w:b/>
                <w:sz w:val="24"/>
                <w:szCs w:val="24"/>
              </w:rPr>
              <w:t>Clearly m</w:t>
            </w:r>
            <w:r w:rsidR="00BA3872">
              <w:rPr>
                <w:rFonts w:cs="Arial"/>
                <w:b/>
                <w:sz w:val="24"/>
                <w:szCs w:val="24"/>
              </w:rPr>
              <w:t>ark</w:t>
            </w:r>
            <w:r w:rsidRPr="00AA6E9B" w:rsidR="003F6C97">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rsidRPr="000C30A4" w:rsidR="003F6C97" w:rsidP="00D36D76" w:rsidRDefault="003F6C97" w14:paraId="6C5872C9" w14:textId="77777777">
            <w:pPr>
              <w:numPr>
                <w:ilvl w:val="0"/>
                <w:numId w:val="9"/>
              </w:numPr>
              <w:rPr>
                <w:rFonts w:cs="Arial"/>
                <w:sz w:val="24"/>
                <w:szCs w:val="24"/>
              </w:rPr>
            </w:pPr>
            <w:r w:rsidRPr="006B19C9">
              <w:rPr>
                <w:rFonts w:cs="Arial"/>
                <w:b/>
                <w:bCs/>
                <w:sz w:val="24"/>
                <w:szCs w:val="24"/>
              </w:rPr>
              <w:t xml:space="preserve">Do not </w:t>
            </w:r>
            <w:r w:rsidRPr="006B19C9" w:rsidR="00E76FCA">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sidR="00E76FCA">
              <w:rPr>
                <w:iCs/>
                <w:sz w:val="24"/>
                <w:szCs w:val="24"/>
              </w:rPr>
              <w:t>as all such data will be deleted</w:t>
            </w:r>
            <w:r w:rsidR="00214A02">
              <w:rPr>
                <w:iCs/>
                <w:sz w:val="24"/>
                <w:szCs w:val="24"/>
              </w:rPr>
              <w:t xml:space="preserve"> or redacted</w:t>
            </w:r>
            <w:r w:rsidRPr="00E76FCA" w:rsidR="00E76FCA">
              <w:rPr>
                <w:iCs/>
                <w:sz w:val="24"/>
                <w:szCs w:val="24"/>
              </w:rPr>
              <w:t>.</w:t>
            </w:r>
          </w:p>
          <w:p w:rsidRPr="000C30A4" w:rsidR="003F6C97" w:rsidP="00D36D76" w:rsidRDefault="003F6C97" w14:paraId="1838887A" w14:textId="77777777">
            <w:pPr>
              <w:numPr>
                <w:ilvl w:val="0"/>
                <w:numId w:val="9"/>
              </w:numPr>
              <w:rPr>
                <w:rFonts w:cs="Arial"/>
                <w:sz w:val="24"/>
                <w:szCs w:val="24"/>
              </w:rPr>
            </w:pPr>
            <w:r w:rsidRPr="000C30A4">
              <w:rPr>
                <w:rFonts w:cs="Arial"/>
                <w:sz w:val="24"/>
                <w:szCs w:val="24"/>
              </w:rPr>
              <w:t>Spell out any abbreviations you use</w:t>
            </w:r>
          </w:p>
          <w:p w:rsidR="003F6C97" w:rsidP="00D36D76" w:rsidRDefault="003F6C97" w14:paraId="4BD862BF" w14:textId="77777777">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rsidRPr="007372A4" w:rsidR="009244E9" w:rsidP="00D36D76" w:rsidRDefault="009244E9" w14:paraId="0DC2B994" w14:textId="77777777">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rsidR="00E76FCA" w:rsidP="00392C6A" w:rsidRDefault="00E76FCA" w14:paraId="02562BC0" w14:textId="77777777">
            <w:pPr>
              <w:pStyle w:val="Paragraphnonumbers"/>
              <w:spacing w:after="120" w:line="240" w:lineRule="auto"/>
              <w:rPr>
                <w:rFonts w:cs="Arial"/>
              </w:rPr>
            </w:pPr>
          </w:p>
          <w:p w:rsidR="003F6C97" w:rsidP="00392C6A" w:rsidRDefault="00392C6A" w14:paraId="3ED91514" w14:textId="77777777">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Pr="000C30A4" w:rsidR="003F6C97">
              <w:rPr>
                <w:rFonts w:cs="Arial"/>
              </w:rPr>
              <w:t xml:space="preserve"> </w:t>
            </w:r>
            <w:hyperlink w:history="1" r:id="rId10">
              <w:r w:rsidRPr="000C30A4" w:rsidR="003F6C97">
                <w:rPr>
                  <w:rStyle w:val="Hyperlink"/>
                  <w:rFonts w:cs="Arial"/>
                </w:rPr>
                <w:t>NICE Pathways</w:t>
              </w:r>
            </w:hyperlink>
            <w:r>
              <w:rPr>
                <w:rFonts w:cs="Arial"/>
              </w:rPr>
              <w:t>.</w:t>
            </w:r>
          </w:p>
          <w:p w:rsidRPr="0075128C" w:rsidR="000C30A4" w:rsidP="000C30A4" w:rsidRDefault="000C30A4" w14:paraId="290A802E" w14:textId="77777777">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P="00C05BCC" w:rsidRDefault="000C30A4" w14:paraId="12E41C03" w14:textId="77777777">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rsidRPr="005F2CB3" w:rsidR="005F2CB3" w:rsidP="005F2CB3" w:rsidRDefault="005F2CB3" w14:paraId="54135483" w14:textId="77777777">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rsidRPr="005F2CB3" w:rsidR="005F2CB3" w:rsidP="005F2CB3" w:rsidRDefault="005F2CB3" w14:paraId="049E12FD" w14:textId="77777777">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Pr="00214A02" w:rsid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rsidR="005F2CB3" w:rsidP="005F2CB3" w:rsidRDefault="005F2CB3" w14:paraId="3F4B2EE1" w14:textId="77777777">
            <w:pPr>
              <w:widowControl w:val="0"/>
              <w:spacing w:line="288" w:lineRule="atLeast"/>
              <w:outlineLvl w:val="3"/>
              <w:rPr>
                <w:rStyle w:val="Emphasis"/>
                <w:rFonts w:cs="Arial"/>
                <w:i w:val="0"/>
                <w:sz w:val="24"/>
                <w:szCs w:val="24"/>
              </w:rPr>
            </w:pPr>
          </w:p>
          <w:p w:rsidR="00330112" w:rsidP="005F2CB3" w:rsidRDefault="005F2CB3" w14:paraId="425245B4" w14:textId="77777777">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rsidR="00330112" w:rsidP="005F2CB3" w:rsidRDefault="00330112" w14:paraId="6948EDAB" w14:textId="77777777">
            <w:pPr>
              <w:widowControl w:val="0"/>
              <w:spacing w:line="288" w:lineRule="atLeast"/>
              <w:outlineLvl w:val="3"/>
              <w:rPr>
                <w:rStyle w:val="Emphasis"/>
                <w:rFonts w:cs="Arial"/>
                <w:sz w:val="24"/>
              </w:rPr>
            </w:pPr>
          </w:p>
          <w:p w:rsidRPr="009071D4" w:rsidR="005F2CB3" w:rsidP="006B19C9" w:rsidRDefault="00330112" w14:paraId="2DD2ACD0" w14:textId="77777777">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w:history="1" r:id="rId11">
              <w:r w:rsidRPr="00C05BCC">
                <w:rPr>
                  <w:rStyle w:val="Hyperlink"/>
                  <w:rFonts w:cs="Arial"/>
                  <w:bCs/>
                </w:rPr>
                <w:t>privacy notice</w:t>
              </w:r>
            </w:hyperlink>
            <w:r>
              <w:rPr>
                <w:rFonts w:cs="Arial"/>
                <w:bCs/>
              </w:rPr>
              <w:t>.</w:t>
            </w:r>
          </w:p>
        </w:tc>
      </w:tr>
    </w:tbl>
    <w:p w:rsidR="00B81DC8" w:rsidP="00FC2698" w:rsidRDefault="00B81DC8" w14:paraId="5718424D" w14:textId="77777777">
      <w:pPr>
        <w:rPr>
          <w:rFonts w:cs="Arial"/>
          <w:sz w:val="20"/>
        </w:rPr>
      </w:pPr>
    </w:p>
    <w:p w:rsidR="003F6C97" w:rsidP="00FC2698" w:rsidRDefault="003F6C97" w14:paraId="58B4605C" w14:textId="77777777">
      <w:pPr>
        <w:rPr>
          <w:rFonts w:cs="Arial"/>
          <w:sz w:val="20"/>
        </w:rPr>
      </w:pPr>
    </w:p>
    <w:p w:rsidR="003F6C97" w:rsidP="00FC2698" w:rsidRDefault="003F6C97" w14:paraId="1AE181D7" w14:textId="77777777">
      <w:pPr>
        <w:rPr>
          <w:rFonts w:cs="Arial"/>
          <w:sz w:val="20"/>
        </w:rPr>
      </w:pPr>
    </w:p>
    <w:p w:rsidRPr="00B81DC8" w:rsidR="003F6C97" w:rsidP="00FC2698" w:rsidRDefault="003F6C97" w14:paraId="583ED578" w14:textId="77777777">
      <w:pPr>
        <w:rPr>
          <w:rFonts w:cs="Arial"/>
          <w:sz w:val="20"/>
        </w:rPr>
      </w:pPr>
    </w:p>
    <w:sectPr w:rsidRPr="00B81DC8" w:rsidR="003F6C97"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4C02" w:rsidRDefault="00E24C02" w14:paraId="4F41A583" w14:textId="77777777">
      <w:r>
        <w:separator/>
      </w:r>
    </w:p>
  </w:endnote>
  <w:endnote w:type="continuationSeparator" w:id="0">
    <w:p w:rsidR="00E24C02" w:rsidRDefault="00E24C02" w14:paraId="14090F53" w14:textId="77777777">
      <w:r>
        <w:continuationSeparator/>
      </w:r>
    </w:p>
  </w:endnote>
  <w:endnote w:type="continuationNotice" w:id="1">
    <w:p w:rsidR="00E24C02" w:rsidRDefault="00E24C02" w14:paraId="4EC480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6C88" w:rsidP="00EE6C88" w:rsidRDefault="00EE6C88" w14:paraId="2A37222A" w14:textId="77777777">
    <w:pPr>
      <w:tabs>
        <w:tab w:val="left" w:pos="5565"/>
      </w:tabs>
      <w:rPr>
        <w:sz w:val="18"/>
      </w:rPr>
    </w:pPr>
    <w:r>
      <w:rPr>
        <w:sz w:val="18"/>
      </w:rPr>
      <w:tab/>
    </w:r>
  </w:p>
  <w:p w:rsidR="00EE6C88" w:rsidP="00EE6C88" w:rsidRDefault="00EE6C88" w14:paraId="20266852" w14:textId="4BC3F597">
    <w:pPr>
      <w:rPr>
        <w:b/>
      </w:rPr>
    </w:pPr>
    <w:r>
      <w:rPr>
        <w:szCs w:val="22"/>
      </w:rPr>
      <w:t>Please return to:</w:t>
    </w:r>
    <w:r>
      <w:t xml:space="preserve"> </w:t>
    </w:r>
    <w:hyperlink w:history="1" r:id="rId1">
      <w:r w:rsidRPr="0083670F" w:rsidR="00B03A99">
        <w:rPr>
          <w:rStyle w:val="Hyperlink"/>
        </w:rPr>
        <w:t>safeprescribing@nice.org.uk</w:t>
      </w:r>
    </w:hyperlink>
    <w:r w:rsidR="00B03A9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4C02" w:rsidRDefault="00E24C02" w14:paraId="2D54054F" w14:textId="77777777">
      <w:r>
        <w:separator/>
      </w:r>
    </w:p>
  </w:footnote>
  <w:footnote w:type="continuationSeparator" w:id="0">
    <w:p w:rsidR="00E24C02" w:rsidRDefault="00E24C02" w14:paraId="73646506" w14:textId="77777777">
      <w:r>
        <w:continuationSeparator/>
      </w:r>
    </w:p>
  </w:footnote>
  <w:footnote w:type="continuationNotice" w:id="1">
    <w:p w:rsidR="00E24C02" w:rsidRDefault="00E24C02" w14:paraId="0F3824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8039AA" w:rsidR="007968D4" w:rsidP="003F6C97" w:rsidRDefault="00B03A99" w14:paraId="358CA3A2" w14:textId="029DE318">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1D5C1449">
          <wp:simplePos x="0" y="0"/>
          <wp:positionH relativeFrom="page">
            <wp:posOffset>7310755</wp:posOffset>
          </wp:positionH>
          <wp:positionV relativeFrom="paragraph">
            <wp:posOffset>9525</wp:posOffset>
          </wp:positionV>
          <wp:extent cx="2971800" cy="304800"/>
          <wp:effectExtent l="0" t="0" r="0" b="0"/>
          <wp:wrapThrough wrapText="bothSides">
            <wp:wrapPolygon edited="0">
              <wp:start x="0" y="0"/>
              <wp:lineTo x="0" y="20250"/>
              <wp:lineTo x="21462" y="20250"/>
              <wp:lineTo x="21462" y="675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A99">
      <w:rPr>
        <w:bCs w:val="0"/>
        <w:szCs w:val="28"/>
      </w:rPr>
      <w:t>Medicines associated with dependence or withdrawal symptoms: safe prescribing and withdrawal management for adults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Pr="00937F34" w:rsidR="007968D4" w:rsidP="007968D4" w:rsidRDefault="007968D4" w14:paraId="6F6E5D02" w14:textId="60B65EF8">
    <w:pPr>
      <w:pStyle w:val="Header"/>
      <w:jc w:val="center"/>
      <w:rPr>
        <w:b/>
        <w:bCs/>
      </w:rPr>
    </w:pPr>
  </w:p>
  <w:p w:rsidRPr="008039AA" w:rsidR="007968D4" w:rsidP="003F6C97" w:rsidRDefault="007968D4" w14:paraId="77F309CA" w14:textId="72A73C1E">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Pr="008039AA" w:rsidR="00624222">
      <w:rPr>
        <w:rFonts w:cs="Arial"/>
        <w:bCs w:val="0"/>
      </w:rPr>
      <w:t>uideline</w:t>
    </w:r>
    <w:r w:rsidRPr="008039AA" w:rsid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03A99">
      <w:t>5pm</w:t>
    </w:r>
    <w:r w:rsidR="001E1D2C">
      <w:t xml:space="preserve"> </w:t>
    </w:r>
    <w:r w:rsidR="00FA4108">
      <w:rPr>
        <w:bCs w:val="0"/>
      </w:rPr>
      <w:t xml:space="preserve">on </w:t>
    </w:r>
    <w:r w:rsidRPr="00B03A99" w:rsidR="00B03A99">
      <w:rPr>
        <w:bCs w:val="0"/>
      </w:rPr>
      <w:t>0</w:t>
    </w:r>
    <w:r w:rsidR="006E7F51">
      <w:rPr>
        <w:bCs w:val="0"/>
      </w:rPr>
      <w:t>2</w:t>
    </w:r>
    <w:r w:rsidRPr="00B03A99" w:rsidR="00B03A99">
      <w:rPr>
        <w:bCs w:val="0"/>
      </w:rPr>
      <w:t xml:space="preserve"> December 2021 </w:t>
    </w:r>
    <w:r w:rsidRPr="00F506DC" w:rsidR="007334BB">
      <w:rPr>
        <w:bCs w:val="0"/>
      </w:rPr>
      <w:t>email:</w:t>
    </w:r>
    <w:r w:rsidRPr="00F506DC" w:rsidR="007334BB">
      <w:rPr>
        <w:b w:val="0"/>
        <w:bCs w:val="0"/>
      </w:rPr>
      <w:t xml:space="preserve"> </w:t>
    </w:r>
    <w:hyperlink w:history="1" r:id="rId2">
      <w:r w:rsidRPr="0083670F" w:rsidR="00B03A99">
        <w:rPr>
          <w:rStyle w:val="Hyperlink"/>
          <w:b w:val="0"/>
          <w:bCs w:val="0"/>
        </w:rPr>
        <w:t>safeprescribing@nice.org.uk</w:t>
      </w:r>
    </w:hyperlink>
    <w:r w:rsidR="00B03A99">
      <w:rPr>
        <w:b w:val="0"/>
        <w:bCs w:val="0"/>
      </w:rPr>
      <w:t xml:space="preserve"> </w:t>
    </w:r>
  </w:p>
  <w:p w:rsidR="007968D4" w:rsidRDefault="007968D4" w14:paraId="41CB7229" w14:textId="32349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920696"/>
    <w:multiLevelType w:val="hybridMultilevel"/>
    <w:tmpl w:val="2612C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9"/>
  </w:num>
  <w:num w:numId="3">
    <w:abstractNumId w:val="8"/>
  </w:num>
  <w:num w:numId="4">
    <w:abstractNumId w:val="10"/>
  </w:num>
  <w:num w:numId="5">
    <w:abstractNumId w:val="10"/>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E7F51"/>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8605D"/>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3A99"/>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D76BD"/>
    <w:rsid w:val="00DE25FF"/>
    <w:rsid w:val="00DE50FC"/>
    <w:rsid w:val="00DF4453"/>
    <w:rsid w:val="00E025D0"/>
    <w:rsid w:val="00E07F99"/>
    <w:rsid w:val="00E119C4"/>
    <w:rsid w:val="00E2483C"/>
    <w:rsid w:val="00E24C02"/>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 w:val="61B09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styleId="Default" w:customStyle="1">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styleId="CommentTextChar" w:customStyle="1">
    <w:name w:val="Comment Text Char"/>
    <w:link w:val="CommentText"/>
    <w:rsid w:val="00437587"/>
    <w:rPr>
      <w:rFonts w:ascii="Arial" w:hAnsi="Arial"/>
      <w:lang w:eastAsia="en-US"/>
    </w:rPr>
  </w:style>
  <w:style w:type="character" w:styleId="HeaderChar" w:customStyle="1">
    <w:name w:val="Header Char"/>
    <w:link w:val="Header"/>
    <w:uiPriority w:val="99"/>
    <w:rsid w:val="007968D4"/>
    <w:rPr>
      <w:rFonts w:ascii="Arial" w:hAnsi="Arial"/>
      <w:sz w:val="24"/>
      <w:szCs w:val="24"/>
      <w:lang w:eastAsia="en-US"/>
    </w:rPr>
  </w:style>
  <w:style w:type="character" w:styleId="FooterChar" w:customStyle="1">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styleId="CommentSubjectChar" w:customStyle="1">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styleId="BalloonTextChar" w:customStyle="1">
    <w:name w:val="Balloon Text Char"/>
    <w:link w:val="BalloonText"/>
    <w:rsid w:val="001E56D1"/>
    <w:rPr>
      <w:rFonts w:ascii="Tahoma" w:hAnsi="Tahoma" w:cs="Tahoma"/>
      <w:sz w:val="16"/>
      <w:szCs w:val="16"/>
      <w:lang w:eastAsia="en-US"/>
    </w:rPr>
  </w:style>
  <w:style w:type="paragraph" w:styleId="Paragraphnonumbers" w:customStyle="1">
    <w:name w:val="Paragraph no numbers"/>
    <w:basedOn w:val="Normal"/>
    <w:uiPriority w:val="99"/>
    <w:qFormat/>
    <w:rsid w:val="00246154"/>
    <w:pPr>
      <w:spacing w:after="240" w:line="276" w:lineRule="auto"/>
    </w:pPr>
    <w:rPr>
      <w:sz w:val="24"/>
      <w:szCs w:val="24"/>
      <w:lang w:eastAsia="en-GB"/>
    </w:rPr>
  </w:style>
  <w:style w:type="paragraph" w:styleId="Bullets" w:customStyle="1">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3F6C97"/>
    <w:rPr>
      <w:rFonts w:ascii="Cambria" w:hAnsi="Cambria" w:eastAsia="Times New Roman" w:cs="Times New Roman"/>
      <w:b/>
      <w:bCs/>
      <w:i/>
      <w:iCs/>
      <w:sz w:val="28"/>
      <w:szCs w:val="28"/>
      <w:lang w:eastAsia="en-US"/>
    </w:rPr>
  </w:style>
  <w:style w:type="paragraph" w:styleId="NICEnormal" w:customStyle="1">
    <w:name w:val="NICE normal"/>
    <w:link w:val="NICEnormalChar"/>
    <w:rsid w:val="000C30A4"/>
    <w:pPr>
      <w:spacing w:after="240" w:line="360" w:lineRule="auto"/>
    </w:pPr>
    <w:rPr>
      <w:rFonts w:ascii="Arial" w:hAnsi="Arial"/>
      <w:sz w:val="24"/>
      <w:szCs w:val="24"/>
      <w:lang w:val="en-US" w:eastAsia="en-US"/>
    </w:rPr>
  </w:style>
  <w:style w:type="character" w:styleId="NICEnormalChar" w:customStyle="1">
    <w:name w:val="NICE normal Char"/>
    <w:link w:val="NICEnormal"/>
    <w:rsid w:val="000C30A4"/>
    <w:rPr>
      <w:rFonts w:ascii="Arial" w:hAnsi="Arial"/>
      <w:sz w:val="24"/>
      <w:szCs w:val="24"/>
      <w:lang w:val="en-US" w:eastAsia="en-US"/>
    </w:rPr>
  </w:style>
  <w:style w:type="paragraph" w:styleId="Paragraph" w:customStyle="1">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886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ice.org.uk/process/pmg20/resources/developing-nice-guidelines-how-to-get-involved-2722986687/chapter/commenting-on-a-draft-guideline"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ice.org.uk/privacy-notice"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pathways.nice.org.uk/" TargetMode="External" Id="rId10" /><Relationship Type="http://schemas.openxmlformats.org/officeDocument/2006/relationships/settings" Target="settings.xml" Id="rId4" /><Relationship Type="http://schemas.openxmlformats.org/officeDocument/2006/relationships/hyperlink" Target="http://www.nice.org.uk/process/pmg22/chapter/how-you-can-get-involved" TargetMode="Externa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safeprescribing@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feprescrib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Institute for Clinical Excellence</dc:title>
  <dc:subject/>
  <dc:creator>Katie Stafford</dc:creator>
  <keywords/>
  <lastModifiedBy>Heidi Wright</lastModifiedBy>
  <revision>5</revision>
  <lastPrinted>2005-11-01T09:30:00.0000000Z</lastPrinted>
  <dcterms:created xsi:type="dcterms:W3CDTF">2021-11-24T12:00:00.0000000Z</dcterms:created>
  <dcterms:modified xsi:type="dcterms:W3CDTF">2021-12-01T14:37:44.8765528Z</dcterms:modified>
</coreProperties>
</file>